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附件1</w:t>
      </w:r>
    </w:p>
    <w:p>
      <w:pPr>
        <w:widowControl/>
        <w:jc w:val="center"/>
        <w:rPr>
          <w:rFonts w:hint="eastAsia" w:ascii="黑体" w:hAnsi="黑体" w:eastAsia="黑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黑体" w:hAnsi="黑体" w:eastAsia="黑体"/>
          <w:b/>
          <w:bCs/>
          <w:color w:val="333333"/>
          <w:sz w:val="44"/>
          <w:szCs w:val="44"/>
          <w:shd w:val="clear" w:color="auto" w:fill="FFFFFF"/>
        </w:rPr>
        <w:t>课程及讲师简介</w:t>
      </w:r>
    </w:p>
    <w:p>
      <w:pPr>
        <w:widowControl/>
        <w:jc w:val="left"/>
        <w:rPr>
          <w:rFonts w:hint="eastAsia" w:ascii="仿宋_GB2312" w:eastAsia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333333"/>
          <w:sz w:val="28"/>
          <w:szCs w:val="28"/>
          <w:shd w:val="clear" w:color="auto" w:fill="FFFFFF"/>
        </w:rPr>
        <w:t xml:space="preserve"> </w:t>
      </w:r>
    </w:p>
    <w:p>
      <w:pPr>
        <w:widowControl/>
        <w:jc w:val="left"/>
        <w:rPr>
          <w:rFonts w:hint="eastAsia" w:ascii="黑体" w:hAnsi="黑体" w:eastAsia="黑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bCs/>
          <w:color w:val="333333"/>
          <w:sz w:val="32"/>
          <w:szCs w:val="32"/>
          <w:shd w:val="clear" w:color="auto" w:fill="FFFFFF"/>
        </w:rPr>
        <w:t>课程大纲</w:t>
      </w:r>
    </w:p>
    <w:p>
      <w:pPr>
        <w:ind w:firstLine="560" w:firstLineChars="200"/>
        <w:rPr>
          <w:rFonts w:hint="eastAsia" w:ascii="仿宋_GB2312" w:hAnsi="宋体" w:eastAsia="仿宋_GB2312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kern w:val="0"/>
          <w:sz w:val="28"/>
          <w:szCs w:val="28"/>
          <w:shd w:val="clear" w:color="auto" w:fill="FFFFFF"/>
        </w:rPr>
        <w:t>一、居间的基本法律知识</w:t>
      </w:r>
    </w:p>
    <w:p>
      <w:pPr>
        <w:ind w:firstLine="560" w:firstLineChars="200"/>
        <w:rPr>
          <w:rFonts w:hint="eastAsia" w:ascii="仿宋_GB2312" w:hAnsi="宋体" w:eastAsia="仿宋_GB2312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kern w:val="0"/>
          <w:sz w:val="28"/>
          <w:szCs w:val="28"/>
          <w:shd w:val="clear" w:color="auto" w:fill="FFFFFF"/>
        </w:rPr>
        <w:t>二、房地产中介权利与义务</w:t>
      </w:r>
    </w:p>
    <w:p>
      <w:pPr>
        <w:ind w:firstLine="560" w:firstLineChars="200"/>
        <w:rPr>
          <w:rFonts w:hint="eastAsia" w:ascii="仿宋_GB2312" w:hAnsi="宋体" w:eastAsia="仿宋_GB2312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kern w:val="0"/>
          <w:sz w:val="28"/>
          <w:szCs w:val="28"/>
          <w:shd w:val="clear" w:color="auto" w:fill="FFFFFF"/>
        </w:rPr>
        <w:t>三、签订中介服务合同的注意事项</w:t>
      </w:r>
    </w:p>
    <w:p>
      <w:pPr>
        <w:ind w:firstLine="560" w:firstLineChars="200"/>
        <w:jc w:val="left"/>
        <w:rPr>
          <w:rFonts w:hint="eastAsia" w:ascii="仿宋_GB2312" w:hAnsi="宋体" w:eastAsia="仿宋_GB2312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kern w:val="0"/>
          <w:sz w:val="28"/>
          <w:szCs w:val="28"/>
          <w:shd w:val="clear" w:color="auto" w:fill="FFFFFF"/>
        </w:rPr>
        <w:t>四、违反法律法规所承担的责任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仿宋_GB2312" w:hAnsi="宋体" w:eastAsia="仿宋_GB2312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kern w:val="0"/>
          <w:sz w:val="28"/>
          <w:szCs w:val="28"/>
          <w:shd w:val="clear" w:color="auto" w:fill="FFFFFF"/>
        </w:rPr>
        <w:t>中介如何通过法律途径维权或应对</w:t>
      </w:r>
    </w:p>
    <w:p>
      <w:pPr>
        <w:pStyle w:val="4"/>
        <w:numPr>
          <w:ilvl w:val="0"/>
          <w:numId w:val="0"/>
        </w:numPr>
        <w:ind w:left="1245" w:firstLineChars="0"/>
        <w:jc w:val="left"/>
        <w:rPr>
          <w:rFonts w:hint="eastAsia" w:ascii="仿宋_GB2312" w:hAnsi="宋体" w:eastAsia="仿宋_GB2312"/>
          <w:kern w:val="0"/>
          <w:sz w:val="28"/>
          <w:szCs w:val="28"/>
          <w:shd w:val="clear" w:color="auto" w:fill="FFFFFF"/>
        </w:rPr>
      </w:pPr>
    </w:p>
    <w:p>
      <w:pPr>
        <w:widowControl/>
        <w:jc w:val="left"/>
        <w:rPr>
          <w:rFonts w:hint="eastAsia" w:ascii="仿宋_GB2312" w:hAnsi="宋体" w:eastAsia="仿宋_GB2312"/>
          <w:kern w:val="0"/>
          <w:sz w:val="28"/>
          <w:szCs w:val="28"/>
          <w:shd w:val="clear" w:color="auto" w:fill="FFFFFF"/>
        </w:rPr>
      </w:pPr>
      <w:r>
        <w:rPr>
          <w:rFonts w:hint="eastAsi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0150" cy="1876425"/>
            <wp:effectExtent l="0" t="0" r="0" b="9525"/>
            <wp:wrapSquare wrapText="bothSides"/>
            <wp:docPr id="1" name="图片 2" descr="说明: wps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说明: wps20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>
      <w:pPr>
        <w:widowControl/>
        <w:ind w:firstLine="354" w:firstLineChars="147"/>
        <w:jc w:val="left"/>
        <w:rPr>
          <w:rFonts w:hint="eastAsia" w:ascii="宋体" w:hAnsi="宋体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sz w:val="24"/>
          <w:shd w:val="clear" w:color="auto" w:fill="FFFFFF"/>
        </w:rPr>
        <w:t xml:space="preserve">● </w:t>
      </w:r>
      <w:r>
        <w:rPr>
          <w:rFonts w:hint="eastAsia" w:ascii="仿宋_GB2312" w:eastAsia="仿宋_GB2312"/>
          <w:b/>
          <w:bCs/>
          <w:sz w:val="28"/>
          <w:szCs w:val="28"/>
          <w:shd w:val="clear" w:color="auto" w:fill="FFFFFF"/>
        </w:rPr>
        <w:t>讲师：林嘉敏</w:t>
      </w:r>
    </w:p>
    <w:p>
      <w:pPr>
        <w:pStyle w:val="4"/>
        <w:widowControl/>
        <w:ind w:left="360" w:firstLine="0" w:firstLineChars="0"/>
        <w:jc w:val="left"/>
        <w:rPr>
          <w:rFonts w:hint="eastAsia" w:asci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b/>
          <w:bCs/>
          <w:sz w:val="28"/>
          <w:szCs w:val="28"/>
          <w:shd w:val="clear" w:color="auto" w:fill="FFFFFF"/>
        </w:rPr>
        <w:t>背景</w:t>
      </w:r>
      <w:r>
        <w:rPr>
          <w:rFonts w:hint="eastAsia" w:ascii="黑体" w:hAnsi="黑体" w:eastAsia="黑体" w:cs="仿宋_GB2312"/>
          <w:b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广州市房地产中介协会法务专员</w:t>
      </w:r>
    </w:p>
    <w:p>
      <w:r>
        <w:rPr>
          <w:rFonts w:hint="eastAsia" w:ascii="仿宋_GB2312" w:eastAsia="仿宋_GB2312"/>
          <w:b/>
          <w:bCs/>
          <w:sz w:val="28"/>
          <w:szCs w:val="28"/>
          <w:shd w:val="clear" w:color="auto" w:fill="FFFFFF"/>
        </w:rPr>
        <w:t>个人简介：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现任职广州市房地产中介协会法务组，处理二手房交易纠纷投诉业务处理二手房交易纠纷投诉业务，熟悉房地产交易流程，熟悉房地产相关法律法规；在协会任职期间，处理二手房交易纠纷，组织调解工作；接待来访市民咨询投诉，解答关于二手房交易的相关问题，能够有热情、有耐心解答群众的问题，高效率、高质量地完成经办的案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6EC"/>
    <w:multiLevelType w:val="multilevel"/>
    <w:tmpl w:val="02BC16EC"/>
    <w:lvl w:ilvl="0" w:tentative="0">
      <w:start w:val="5"/>
      <w:numFmt w:val="japaneseCounting"/>
      <w:lvlText w:val="%1、"/>
      <w:lvlJc w:val="left"/>
      <w:pPr>
        <w:ind w:left="1245" w:hanging="720"/>
      </w:pPr>
      <w:rPr>
        <w:rFonts w:hint="eastAsia" w:ascii="仿宋_GB2312" w:hAnsi="宋体" w:eastAsia="仿宋_GB2312"/>
      </w:rPr>
    </w:lvl>
    <w:lvl w:ilvl="1" w:tentative="0">
      <w:start w:val="1"/>
      <w:numFmt w:val="lowerLetter"/>
      <w:lvlText w:val="%2)"/>
      <w:lvlJc w:val="left"/>
      <w:pPr>
        <w:ind w:left="1365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785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205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625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3045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3465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885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4305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D4B16"/>
    <w:rsid w:val="30DD4B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semiHidden/>
    <w:uiPriority w:val="99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iu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2018-04-27T01:04:00Z</dcterms:created>
  <dc:creator>Lay</dc:creator>
  <cp:lastModifiedBy>Lay</cp:lastModifiedBy>
  <dcterms:modified xsi:type="dcterms:W3CDTF">2018-04-27T01:04:29Z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