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bCs/>
          <w:sz w:val="28"/>
          <w:szCs w:val="28"/>
        </w:rPr>
      </w:pPr>
      <w:r>
        <w:rPr>
          <w:rFonts w:hint="eastAsia" w:ascii="宋体" w:hAnsi="宋体"/>
          <w:b/>
          <w:bCs/>
          <w:sz w:val="28"/>
          <w:szCs w:val="28"/>
        </w:rPr>
        <w:t>附件</w:t>
      </w:r>
    </w:p>
    <w:p>
      <w:pPr>
        <w:ind w:firstLine="883" w:firstLineChars="200"/>
        <w:jc w:val="center"/>
        <w:rPr>
          <w:rFonts w:ascii="黑体" w:hAnsi="黑体" w:eastAsia="黑体"/>
          <w:b/>
          <w:bCs/>
          <w:sz w:val="44"/>
          <w:szCs w:val="44"/>
        </w:rPr>
      </w:pPr>
      <w:r>
        <w:rPr>
          <w:rFonts w:hint="eastAsia" w:ascii="黑体" w:hAnsi="黑体" w:eastAsia="黑体"/>
          <w:b/>
          <w:bCs/>
          <w:sz w:val="44"/>
          <w:szCs w:val="44"/>
        </w:rPr>
        <w:t>课程简介</w:t>
      </w:r>
    </w:p>
    <w:p>
      <w:pPr>
        <w:ind w:firstLine="883" w:firstLineChars="200"/>
        <w:jc w:val="center"/>
        <w:rPr>
          <w:rFonts w:ascii="黑体" w:hAnsi="黑体" w:eastAsia="黑体"/>
          <w:b/>
          <w:bCs/>
          <w:sz w:val="44"/>
          <w:szCs w:val="44"/>
        </w:rPr>
      </w:pPr>
      <w:r>
        <w:rPr>
          <w:rFonts w:hint="eastAsia" w:ascii="黑体" w:hAnsi="黑体" w:eastAsia="黑体"/>
          <w:b/>
          <w:bCs/>
          <w:sz w:val="44"/>
          <w:szCs w:val="44"/>
        </w:rPr>
        <w:t xml:space="preserve"> </w:t>
      </w:r>
    </w:p>
    <w:p>
      <w:pPr>
        <w:pStyle w:val="4"/>
        <w:shd w:val="clear" w:color="auto" w:fill="FFFFFF"/>
        <w:spacing w:before="0" w:beforeAutospacing="0" w:after="0" w:afterAutospacing="0" w:line="360" w:lineRule="atLeast"/>
        <w:ind w:firstLine="482"/>
        <w:jc w:val="center"/>
        <w:rPr>
          <w:rFonts w:ascii="黑体" w:hAnsi="黑体" w:eastAsia="黑体"/>
          <w:b/>
          <w:bCs/>
          <w:sz w:val="36"/>
          <w:szCs w:val="36"/>
        </w:rPr>
      </w:pPr>
      <w:r>
        <w:rPr>
          <w:rFonts w:hint="eastAsia" w:ascii="黑体" w:hAnsi="黑体" w:eastAsia="黑体"/>
          <w:b/>
          <w:bCs/>
          <w:sz w:val="36"/>
          <w:szCs w:val="36"/>
        </w:rPr>
        <w:t>《二手房交易案例分析——依法依规办理网签手续》</w:t>
      </w:r>
    </w:p>
    <w:p>
      <w:pPr>
        <w:pStyle w:val="4"/>
        <w:shd w:val="clear" w:color="auto" w:fill="FFFFFF"/>
        <w:spacing w:before="0" w:beforeAutospacing="0" w:after="0" w:afterAutospacing="0" w:line="360" w:lineRule="atLeast"/>
        <w:ind w:firstLine="482"/>
        <w:jc w:val="center"/>
        <w:rPr>
          <w:rFonts w:ascii="黑体" w:hAnsi="黑体" w:eastAsia="黑体"/>
          <w:b/>
          <w:bCs/>
          <w:sz w:val="36"/>
          <w:szCs w:val="36"/>
        </w:rPr>
      </w:pPr>
      <w:r>
        <w:rPr>
          <w:rFonts w:hint="eastAsia" w:ascii="黑体" w:hAnsi="黑体" w:eastAsia="黑体"/>
          <w:b/>
          <w:bCs/>
          <w:sz w:val="36"/>
          <w:szCs w:val="36"/>
        </w:rPr>
        <w:t>（电子书</w:t>
      </w:r>
      <w:r>
        <w:rPr>
          <w:rFonts w:ascii="黑体" w:hAnsi="黑体" w:eastAsia="黑体"/>
          <w:b/>
          <w:bCs/>
          <w:sz w:val="36"/>
          <w:szCs w:val="36"/>
        </w:rPr>
        <w:t>课程</w:t>
      </w:r>
      <w:r>
        <w:rPr>
          <w:rFonts w:hint="eastAsia" w:ascii="黑体" w:hAnsi="黑体" w:eastAsia="黑体"/>
          <w:b/>
          <w:bCs/>
          <w:sz w:val="36"/>
          <w:szCs w:val="36"/>
        </w:rPr>
        <w:t>）</w:t>
      </w:r>
    </w:p>
    <w:p>
      <w:pPr>
        <w:spacing w:line="360" w:lineRule="auto"/>
        <w:ind w:firstLine="723" w:firstLineChars="200"/>
        <w:jc w:val="center"/>
        <w:rPr>
          <w:rFonts w:ascii="黑体" w:hAnsi="黑体" w:eastAsia="黑体" w:cs="宋体"/>
          <w:b/>
          <w:bCs/>
          <w:kern w:val="0"/>
          <w:sz w:val="36"/>
          <w:szCs w:val="36"/>
        </w:rPr>
      </w:pPr>
    </w:p>
    <w:p>
      <w:pPr>
        <w:spacing w:line="360" w:lineRule="auto"/>
        <w:ind w:firstLine="560" w:firstLineChars="200"/>
        <w:jc w:val="left"/>
        <w:rPr>
          <w:rFonts w:ascii="仿宋_GB2312" w:hAnsi="宋体" w:eastAsia="仿宋_GB2312" w:cs="宋体"/>
          <w:color w:val="000000"/>
          <w:kern w:val="0"/>
          <w:sz w:val="28"/>
          <w:szCs w:val="28"/>
          <w:shd w:val="clear" w:color="auto" w:fill="FFFFFF"/>
        </w:rPr>
      </w:pPr>
      <w:r>
        <w:rPr>
          <w:rFonts w:hint="eastAsia" w:ascii="仿宋_GB2312" w:hAnsi="宋体" w:eastAsia="仿宋_GB2312" w:cs="宋体"/>
          <w:color w:val="000000"/>
          <w:kern w:val="0"/>
          <w:sz w:val="28"/>
          <w:szCs w:val="28"/>
          <w:shd w:val="clear" w:color="auto" w:fill="FFFFFF"/>
        </w:rPr>
        <w:t>未经业主同意，中介是否可以协助买家擅自更改网签合同内容？</w:t>
      </w:r>
    </w:p>
    <w:p>
      <w:pPr>
        <w:spacing w:line="360" w:lineRule="auto"/>
        <w:ind w:firstLine="560" w:firstLineChars="200"/>
        <w:rPr>
          <w:rFonts w:ascii="仿宋_GB2312" w:hAnsi="宋体" w:eastAsia="仿宋_GB2312" w:cs="宋体"/>
          <w:color w:val="000000"/>
          <w:kern w:val="0"/>
          <w:sz w:val="28"/>
          <w:szCs w:val="28"/>
          <w:shd w:val="clear" w:color="auto" w:fill="FFFFFF"/>
        </w:rPr>
      </w:pPr>
      <w:r>
        <w:rPr>
          <w:rFonts w:hint="eastAsia" w:ascii="仿宋_GB2312" w:hAnsi="宋体" w:eastAsia="仿宋_GB2312" w:cs="宋体"/>
          <w:color w:val="000000"/>
          <w:kern w:val="0"/>
          <w:sz w:val="28"/>
          <w:szCs w:val="28"/>
          <w:shd w:val="clear" w:color="auto" w:fill="FFFFFF"/>
        </w:rPr>
        <w:t>若买家对中介机构提出协助制作与实际交易价格不一致的网签合同的要求，中介机构如何正确操作？</w:t>
      </w:r>
    </w:p>
    <w:p>
      <w:pPr>
        <w:spacing w:line="360" w:lineRule="auto"/>
        <w:ind w:firstLine="560" w:firstLineChars="200"/>
        <w:rPr>
          <w:rFonts w:ascii="仿宋_GB2312" w:hAnsi="宋体" w:eastAsia="仿宋_GB2312" w:cs="宋体"/>
          <w:color w:val="000000"/>
          <w:kern w:val="0"/>
          <w:sz w:val="28"/>
          <w:szCs w:val="28"/>
          <w:shd w:val="clear" w:color="auto" w:fill="FFFFFF"/>
        </w:rPr>
      </w:pPr>
      <w:r>
        <w:rPr>
          <w:rFonts w:hint="eastAsia" w:ascii="仿宋_GB2312" w:hAnsi="宋体" w:eastAsia="仿宋_GB2312" w:cs="宋体"/>
          <w:color w:val="000000"/>
          <w:kern w:val="0"/>
          <w:sz w:val="28"/>
          <w:szCs w:val="28"/>
          <w:shd w:val="clear" w:color="auto" w:fill="FFFFFF"/>
        </w:rPr>
        <w:t>经纪人或中介机构在从业过程中出现“为交易当事人规避房屋交易税费等非法目的，就同一房屋签订不同交易价款的合同提供便利。”的行为会受到什么处罚？</w:t>
      </w:r>
    </w:p>
    <w:p>
      <w:pPr>
        <w:spacing w:line="360" w:lineRule="auto"/>
        <w:ind w:firstLine="560" w:firstLineChars="200"/>
        <w:rPr>
          <w:rFonts w:ascii="仿宋_GB2312" w:hAnsi="宋体" w:eastAsia="仿宋_GB2312" w:cs="宋体"/>
          <w:color w:val="000000"/>
          <w:kern w:val="0"/>
          <w:sz w:val="28"/>
          <w:szCs w:val="28"/>
          <w:shd w:val="clear" w:color="auto" w:fill="FFFFFF"/>
        </w:rPr>
      </w:pPr>
      <w:r>
        <w:rPr>
          <w:rFonts w:hint="eastAsia" w:ascii="仿宋_GB2312" w:hAnsi="宋体" w:eastAsia="仿宋_GB2312" w:cs="宋体"/>
          <w:color w:val="000000"/>
          <w:kern w:val="0"/>
          <w:sz w:val="28"/>
          <w:szCs w:val="28"/>
          <w:shd w:val="clear" w:color="auto" w:fill="FFFFFF"/>
        </w:rPr>
        <w:t xml:space="preserve">本次课程精选两篇经典案例进行分析，帮助经纪人增强法律意识，减少在办理网签手续过程中不必要的纠纷。 </w:t>
      </w:r>
    </w:p>
    <w:p>
      <w:pPr>
        <w:spacing w:line="360" w:lineRule="auto"/>
        <w:ind w:firstLine="420" w:firstLineChars="200"/>
        <w:jc w:val="center"/>
        <w:rPr>
          <w:rFonts w:ascii="仿宋_GB2312" w:hAnsi="宋体" w:eastAsia="仿宋_GB2312" w:cs="宋体"/>
          <w:color w:val="000000"/>
          <w:kern w:val="0"/>
          <w:sz w:val="28"/>
          <w:szCs w:val="28"/>
          <w:shd w:val="clear" w:color="auto" w:fill="FFFFFF"/>
        </w:rPr>
      </w:pPr>
      <w:r>
        <w:drawing>
          <wp:inline distT="0" distB="0" distL="114300" distR="114300">
            <wp:extent cx="4618990" cy="1752600"/>
            <wp:effectExtent l="0" t="0" r="1016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4618990" cy="1752600"/>
                    </a:xfrm>
                    <a:prstGeom prst="rect">
                      <a:avLst/>
                    </a:prstGeom>
                    <a:noFill/>
                    <a:ln w="9525">
                      <a:noFill/>
                    </a:ln>
                  </pic:spPr>
                </pic:pic>
              </a:graphicData>
            </a:graphic>
          </wp:inline>
        </w:drawing>
      </w:r>
    </w:p>
    <w:p>
      <w:pPr>
        <w:spacing w:line="360" w:lineRule="auto"/>
        <w:jc w:val="center"/>
        <w:rPr>
          <w:rFonts w:hint="eastAsia" w:ascii="仿宋_GB2312" w:eastAsia="仿宋_GB2312"/>
          <w:b/>
          <w:sz w:val="32"/>
          <w:szCs w:val="32"/>
        </w:rPr>
      </w:pPr>
    </w:p>
    <w:p>
      <w:bookmarkStart w:id="0" w:name="_GoBack"/>
      <w:bookmarkEnd w:id="0"/>
    </w:p>
    <w:sectPr>
      <w:headerReference r:id="rId4" w:type="first"/>
      <w:footerReference r:id="rId7" w:type="first"/>
      <w:headerReference r:id="rId3" w:type="default"/>
      <w:footerReference r:id="rId5" w:type="default"/>
      <w:footerReference r:id="rId6" w:type="even"/>
      <w:pgSz w:w="11906" w:h="16838"/>
      <w:pgMar w:top="1418" w:right="1134" w:bottom="1418" w:left="141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6"/>
      </w:rPr>
      <w:fldChar w:fldCharType="begin"/>
    </w:r>
    <w:r>
      <w:rPr>
        <w:rStyle w:val="6"/>
      </w:rPr>
      <w:instrText xml:space="preserve"> PAGE </w:instrText>
    </w:r>
    <w:r>
      <w:rPr>
        <w:rStyle w:val="6"/>
      </w:rPr>
      <w:fldChar w:fldCharType="separate"/>
    </w:r>
    <w:r>
      <w:rPr>
        <w:rStyle w:val="6"/>
      </w:rPr>
      <w:t>1</w:t>
    </w:r>
    <w:r>
      <w:rPr>
        <w:rStyle w:val="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659130</wp:posOffset>
              </wp:positionV>
              <wp:extent cx="5943600" cy="0"/>
              <wp:effectExtent l="0" t="28575" r="0" b="28575"/>
              <wp:wrapNone/>
              <wp:docPr id="2" name="直接连接符 2"/>
              <wp:cNvGraphicFramePr/>
              <a:graphic xmlns:a="http://schemas.openxmlformats.org/drawingml/2006/main">
                <a:graphicData uri="http://schemas.microsoft.com/office/word/2010/wordprocessingShape">
                  <wps:wsp>
                    <wps:cNvSpPr/>
                    <wps:spPr>
                      <a:xfrm>
                        <a:off x="0" y="0"/>
                        <a:ext cx="59436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9pt;height:0pt;width:468pt;z-index:251658240;mso-width-relative:page;mso-height-relative:page;" filled="f" stroked="t" coordsize="21600,21600" o:gfxdata="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0YK5dIAAAAIAQAADwAAAAAA&#10;AAABACAAAAAiAAAAZHJzL2Rvd25yZXYueG1sUEsBAhQAFAAAAAgAh07iQN6LtHzgAQAAnQMAAA4A&#10;AAAAAAAAAQAgAAAAIQEAAGRycy9lMm9Eb2MueG1sUEsFBgAAAAAGAAYAWQEAAHMFAAAAAA==&#10;">
              <v:path arrowok="t"/>
              <v:fill on="f" focussize="0,0"/>
              <v:stroke weight="4.5pt" color="#FF0000" linestyle="thickThin"/>
              <v:imagedata o:title=""/>
              <o:lock v:ext="edit"/>
            </v:line>
          </w:pict>
        </mc:Fallback>
      </mc:AlternateContent>
    </w:r>
    <w:r>
      <w:rPr>
        <w:rFonts w:hint="eastAsia"/>
      </w:rPr>
      <w:pict>
        <v:shape id="_x0000_i1026" o:spt="136" type="#_x0000_t136" style="height:40.5pt;width:445.8pt;" fillcolor="#FF0000" filled="t" stroked="t" coordsize="21600,21600">
          <v:path/>
          <v:fill on="t" focussize="0,0"/>
          <v:stroke color="#FF0000"/>
          <v:imagedata o:title=""/>
          <o:lock v:ext="edit"/>
          <v:textpath on="t" fitshape="t" fitpath="t" trim="t" xscale="f" string="广州市房地产中介协会" style="font-family:方正姚体;font-size:36pt;font-weight:bold;v-rotate-letters:f;v-same-letter-heights:f;v-text-align:center;"/>
          <w10:wrap type="none"/>
          <w10:anchorlock/>
        </v:shape>
      </w:pict>
    </w:r>
  </w:p>
  <w:p>
    <w:pPr>
      <w:pStyle w:val="3"/>
      <w:pBdr>
        <w:bottom w:val="none" w:color="auto" w:sz="0" w:space="0"/>
      </w:pBdr>
      <w:ind w:right="180"/>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172AA"/>
    <w:rsid w:val="6D535020"/>
    <w:rsid w:val="70F17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iu\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2018-05-28T00:51:00Z</dcterms:created>
  <dc:creator>空の</dc:creator>
  <cp:lastModifiedBy>空の</cp:lastModifiedBy>
  <dcterms:modified xsi:type="dcterms:W3CDTF">2018-05-28T00:52:17Z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