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ind w:firstLine="0" w:firstLineChars="0"/>
        <w:jc w:val="left"/>
        <w:rPr>
          <w:rFonts w:ascii="黑体" w:hAnsi="黑体" w:eastAsia="黑体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</w:t>
      </w:r>
      <w:r>
        <w:rPr>
          <w:rFonts w:hint="eastAsia"/>
          <w:b/>
          <w:bCs/>
          <w:color w:val="000000"/>
          <w:sz w:val="28"/>
          <w:szCs w:val="28"/>
        </w:rPr>
        <w:t>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新入行中介培训班之“房地产中介按揭基础知识”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（总五十六期/2018年第二十五期）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8"/>
          <w:rFonts w:hint="eastAsia" w:ascii="仿宋_GB2312" w:eastAsia="仿宋_GB2312" w:cs="Calibri"/>
          <w:sz w:val="28"/>
          <w:szCs w:val="28"/>
          <w:u w:val="single"/>
        </w:rPr>
        <w:t>gzrea.edu@126.com</w:t>
      </w:r>
      <w:r>
        <w:rPr>
          <w:rFonts w:ascii="仿宋_GB2312" w:eastAsia="仿宋_GB2312" w:cs="Calibri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A0A9A"/>
    <w:rsid w:val="267A0A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列出段落1"/>
    <w:basedOn w:val="1"/>
    <w:uiPriority w:val="0"/>
    <w:pPr>
      <w:ind w:firstLine="420" w:firstLineChars="200"/>
    </w:pPr>
    <w:rPr>
      <w:szCs w:val="21"/>
    </w:rPr>
  </w:style>
  <w:style w:type="character" w:customStyle="1" w:styleId="8">
    <w:name w:val="15"/>
    <w:uiPriority w:val="0"/>
    <w:rPr>
      <w:rFonts w:hint="default" w:ascii="Calibri" w:hAnsi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2018-08-13T01:06:00Z</dcterms:created>
  <dc:creator>空の</dc:creator>
  <cp:lastModifiedBy>空の</cp:lastModifiedBy>
  <dcterms:modified xsi:type="dcterms:W3CDTF">2018-08-13T01:06:10Z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