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</w:t>
      </w:r>
    </w:p>
    <w:p>
      <w:pPr>
        <w:ind w:firstLine="883" w:firstLineChars="200"/>
        <w:jc w:val="center"/>
        <w:rPr>
          <w:rFonts w:ascii="黑体" w:hAnsi="宋体" w:eastAsia="黑体" w:cs="黑体"/>
          <w:b/>
          <w:sz w:val="44"/>
          <w:szCs w:val="44"/>
          <w:lang w:bidi="ar"/>
        </w:rPr>
      </w:pPr>
      <w:r>
        <w:rPr>
          <w:rFonts w:hint="eastAsia" w:ascii="黑体" w:hAnsi="宋体" w:eastAsia="黑体" w:cs="黑体"/>
          <w:b/>
          <w:sz w:val="44"/>
          <w:szCs w:val="44"/>
          <w:lang w:bidi="ar"/>
        </w:rPr>
        <w:t>活动及讲师简介</w:t>
      </w:r>
    </w:p>
    <w:p>
      <w:pPr>
        <w:rPr>
          <w:rFonts w:ascii="黑体" w:hAnsi="黑体" w:eastAsia="黑体"/>
          <w:b/>
          <w:bCs/>
          <w:sz w:val="36"/>
          <w:szCs w:val="36"/>
        </w:rPr>
      </w:pPr>
    </w:p>
    <w:p>
      <w:pPr>
        <w:rPr>
          <w:rFonts w:ascii="黑体" w:hAnsi="宋体" w:eastAsia="黑体" w:cs="黑体"/>
          <w:b/>
          <w:sz w:val="32"/>
          <w:szCs w:val="36"/>
        </w:rPr>
      </w:pPr>
      <w:r>
        <w:rPr>
          <w:rFonts w:hint="eastAsia" w:ascii="黑体" w:hAnsi="宋体" w:eastAsia="黑体" w:cs="黑体"/>
          <w:b/>
          <w:sz w:val="32"/>
          <w:szCs w:val="36"/>
        </w:rPr>
        <w:t>活动主题</w:t>
      </w:r>
    </w:p>
    <w:p>
      <w:pPr>
        <w:spacing w:line="360" w:lineRule="auto"/>
        <w:jc w:val="left"/>
        <w:rPr>
          <w:rFonts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一、</w:t>
      </w:r>
      <w:r>
        <w:rPr>
          <w:rFonts w:hint="eastAsia" w:ascii="仿宋_GB2312" w:hAnsi="Helvetica" w:eastAsia="仿宋_GB2312" w:cs="Helvetica"/>
          <w:sz w:val="28"/>
          <w:szCs w:val="28"/>
        </w:rPr>
        <w:t>什么是经纪人应尽的谨慎审查义务？</w:t>
      </w:r>
    </w:p>
    <w:p>
      <w:pPr>
        <w:spacing w:line="360" w:lineRule="auto"/>
        <w:jc w:val="left"/>
        <w:rPr>
          <w:rFonts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二、</w:t>
      </w:r>
      <w:r>
        <w:rPr>
          <w:rFonts w:hint="eastAsia" w:ascii="仿宋_GB2312" w:hAnsi="Helvetica" w:eastAsia="仿宋_GB2312" w:cs="Helvetica"/>
          <w:sz w:val="28"/>
          <w:szCs w:val="28"/>
        </w:rPr>
        <w:t>买家资金不到位或银行出具同贷书后不放款，导致业主收不齐购房款，是否属于经纪人审查义务？</w:t>
      </w:r>
    </w:p>
    <w:p>
      <w:pPr>
        <w:spacing w:line="360" w:lineRule="auto"/>
        <w:jc w:val="left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三、</w:t>
      </w:r>
      <w:r>
        <w:rPr>
          <w:rFonts w:hint="eastAsia" w:ascii="仿宋_GB2312" w:hAnsi="Helvetica" w:eastAsia="仿宋_GB2312" w:cs="Helvetica"/>
          <w:sz w:val="28"/>
          <w:szCs w:val="28"/>
        </w:rPr>
        <w:t>房屋交易所交的具体税费金额是否是经纪人审查范围？</w:t>
      </w:r>
      <w:r>
        <w:rPr>
          <w:rFonts w:hint="eastAsia" w:ascii="黑体" w:hAnsi="黑体" w:eastAsia="黑体"/>
          <w:b/>
          <w:bCs/>
          <w:sz w:val="36"/>
          <w:szCs w:val="36"/>
        </w:rPr>
        <w:t xml:space="preserve">   </w:t>
      </w:r>
    </w:p>
    <w:p>
      <w:pPr>
        <w:spacing w:line="360" w:lineRule="auto"/>
        <w:jc w:val="left"/>
        <w:rPr>
          <w:rFonts w:ascii="黑体" w:hAnsi="黑体" w:eastAsia="黑体"/>
          <w:b/>
          <w:bCs/>
          <w:sz w:val="36"/>
          <w:szCs w:val="36"/>
        </w:rPr>
      </w:pPr>
    </w:p>
    <w:p>
      <w:pPr>
        <w:pStyle w:val="4"/>
        <w:numPr>
          <w:ilvl w:val="0"/>
          <w:numId w:val="1"/>
        </w:numPr>
        <w:spacing w:line="480" w:lineRule="auto"/>
        <w:ind w:firstLineChars="0"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85090</wp:posOffset>
            </wp:positionV>
            <wp:extent cx="1472565" cy="2217420"/>
            <wp:effectExtent l="0" t="0" r="13335" b="11430"/>
            <wp:wrapTight wrapText="bothSides">
              <wp:wrapPolygon>
                <wp:start x="0" y="0"/>
                <wp:lineTo x="0" y="21340"/>
                <wp:lineTo x="21237" y="21340"/>
                <wp:lineTo x="21237" y="0"/>
                <wp:lineTo x="0" y="0"/>
              </wp:wrapPolygon>
            </wp:wrapTight>
            <wp:docPr id="1" name="图片 1" descr="律师介绍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律师介绍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b/>
          <w:sz w:val="32"/>
          <w:szCs w:val="32"/>
        </w:rPr>
        <w:t>嘉宾：卢彦声</w:t>
      </w:r>
    </w:p>
    <w:p>
      <w:pPr>
        <w:pStyle w:val="4"/>
        <w:spacing w:line="480" w:lineRule="auto"/>
        <w:ind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背景：</w:t>
      </w:r>
      <w:r>
        <w:rPr>
          <w:rFonts w:hint="eastAsia" w:ascii="仿宋_GB2312" w:hAnsi="宋体" w:eastAsia="仿宋_GB2312"/>
          <w:sz w:val="28"/>
          <w:szCs w:val="28"/>
        </w:rPr>
        <w:t>北京市盈科（广州）律师事务所专职律师、</w:t>
      </w:r>
    </w:p>
    <w:p>
      <w:pPr>
        <w:pStyle w:val="4"/>
        <w:spacing w:line="480" w:lineRule="auto"/>
        <w:ind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名誉合伙人</w:t>
      </w:r>
    </w:p>
    <w:p>
      <w:pPr>
        <w:pStyle w:val="4"/>
        <w:spacing w:line="480" w:lineRule="auto"/>
        <w:ind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擅长领域：</w:t>
      </w:r>
      <w:r>
        <w:rPr>
          <w:rFonts w:hint="eastAsia" w:ascii="仿宋_GB2312" w:hAnsi="宋体" w:eastAsia="仿宋_GB2312"/>
          <w:sz w:val="28"/>
          <w:szCs w:val="28"/>
        </w:rPr>
        <w:t>合同和债权债务纠纷、企业商誉权纠纷、</w:t>
      </w:r>
    </w:p>
    <w:p>
      <w:pPr>
        <w:pStyle w:val="4"/>
        <w:spacing w:line="480" w:lineRule="auto"/>
        <w:ind w:firstLine="1400" w:firstLineChars="5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房产诉讼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个人简介：</w:t>
      </w:r>
      <w:r>
        <w:rPr>
          <w:rFonts w:hint="eastAsia" w:ascii="仿宋_GB2312" w:hAnsi="宋体" w:eastAsia="仿宋_GB2312"/>
          <w:sz w:val="28"/>
          <w:szCs w:val="28"/>
        </w:rPr>
        <w:t>从事多年法律工作，先后在三家律师事务所工作，负责处理公司债权债务等民事纠纷和刑事诉讼案件；参与办理三百余起合同纠纷、房屋买卖纠纷、租赁纠纷，重大刑事诉讼等案件；精通各种法律文书的写作，熟知整个法律诉讼程序，具有较强的庭辩能力和诉讼经验；法学理论功底深厚。办案特点是分析全面，常有独到见解，深受当事人信赖。先后在地区电视台，腾讯大粤网做客提供法律解答与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99"/>
    <w:multiLevelType w:val="multilevel"/>
    <w:tmpl w:val="11047A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71775"/>
    <w:rsid w:val="51E717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2018-08-08T08:48:00Z</dcterms:created>
  <dc:creator>空の</dc:creator>
  <cp:lastModifiedBy>空の</cp:lastModifiedBy>
  <dcterms:modified xsi:type="dcterms:W3CDTF">2018-08-08T08:48:14Z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