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仿宋_GB2312"/>
          <w:sz w:val="28"/>
          <w:szCs w:val="24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附件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883" w:firstLineChars="200"/>
        <w:jc w:val="center"/>
        <w:rPr>
          <w:rFonts w:hint="eastAsia" w:ascii="黑体" w:hAnsi="宋体" w:eastAsia="黑体" w:cs="黑体"/>
          <w:b/>
          <w:sz w:val="44"/>
          <w:szCs w:val="44"/>
          <w:lang w:val="en-US"/>
        </w:rPr>
      </w:pPr>
      <w:r>
        <w:rPr>
          <w:rFonts w:hint="eastAsia" w:ascii="黑体" w:hAnsi="宋体" w:eastAsia="黑体" w:cs="黑体"/>
          <w:b/>
          <w:kern w:val="2"/>
          <w:sz w:val="44"/>
          <w:szCs w:val="44"/>
          <w:lang w:val="en-US" w:eastAsia="zh-CN" w:bidi="ar"/>
        </w:rPr>
        <w:t>课程简介</w:t>
      </w:r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val="en-US"/>
        </w:rPr>
      </w:pPr>
    </w:p>
    <w:p>
      <w:pPr>
        <w:pStyle w:val="4"/>
        <w:widowControl/>
        <w:shd w:val="clear" w:fill="FFFFFF"/>
        <w:spacing w:before="0" w:beforeAutospacing="0" w:after="0" w:afterAutospacing="0" w:line="500" w:lineRule="exact"/>
        <w:ind w:left="0" w:right="0" w:firstLine="643" w:firstLineChars="200"/>
        <w:jc w:val="center"/>
        <w:rPr>
          <w:rFonts w:hint="eastAsia" w:ascii="黑体" w:hAnsi="宋体" w:eastAsia="黑体" w:cs="黑体"/>
          <w:b/>
          <w:sz w:val="32"/>
          <w:szCs w:val="36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sz w:val="32"/>
          <w:szCs w:val="36"/>
          <w:shd w:val="clear" w:fill="FFFFFF"/>
          <w:lang w:eastAsia="zh-CN"/>
        </w:rPr>
        <w:t>如何签订一份高质量的《房屋买卖合同》</w:t>
      </w:r>
    </w:p>
    <w:p>
      <w:pPr>
        <w:pStyle w:val="4"/>
        <w:widowControl/>
        <w:shd w:val="clear" w:fill="FFFFFF"/>
        <w:spacing w:before="0" w:beforeAutospacing="0" w:after="0" w:afterAutospacing="0" w:line="500" w:lineRule="exact"/>
        <w:ind w:left="0" w:right="0" w:firstLine="643" w:firstLineChars="200"/>
        <w:jc w:val="center"/>
        <w:rPr>
          <w:rFonts w:hint="eastAsia" w:ascii="黑体" w:hAnsi="宋体" w:eastAsia="黑体" w:cs="黑体"/>
          <w:b/>
          <w:sz w:val="32"/>
          <w:szCs w:val="36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sz w:val="32"/>
          <w:szCs w:val="36"/>
          <w:shd w:val="clear" w:fill="FFFFFF"/>
          <w:lang w:eastAsia="zh-CN"/>
        </w:rPr>
        <w:t>（视频课程）</w:t>
      </w:r>
    </w:p>
    <w:p>
      <w:pPr>
        <w:pStyle w:val="4"/>
        <w:widowControl/>
        <w:shd w:val="clear" w:fill="FFFFFF"/>
        <w:spacing w:before="0" w:beforeAutospacing="0" w:after="0" w:afterAutospacing="0" w:line="500" w:lineRule="exact"/>
        <w:ind w:left="0" w:right="0" w:firstLine="482"/>
        <w:jc w:val="center"/>
        <w:rPr>
          <w:rFonts w:hint="eastAsia" w:ascii="黑体" w:hAnsi="宋体" w:eastAsia="黑体" w:cs="黑体"/>
          <w:b/>
          <w:sz w:val="32"/>
          <w:szCs w:val="36"/>
          <w:shd w:val="clear" w:fill="FFFFFF"/>
          <w:lang w:val="en-US"/>
        </w:rPr>
      </w:pPr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val="en-US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eastAsia="zh-CN"/>
        </w:rPr>
        <w:t>合同能给你带来财富，也能带来风险！</w:t>
      </w:r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val="en-US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eastAsia="zh-CN"/>
        </w:rPr>
        <w:t>房屋买卖合同是中介业务中最常见的合同，也是出现问题多、涉及投诉量大的合同！作为一名专业的房地产经纪人，你知道如何签订房屋买卖合同才能减少不必要的纠纷吗？</w:t>
      </w:r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560" w:firstLineChars="200"/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val="en-US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eastAsia="zh-CN"/>
        </w:rPr>
        <w:t>本课程帮助你树立法律意识、做好合同方面的法律风险管理与控制。</w:t>
      </w:r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480" w:firstLineChars="200"/>
        <w:jc w:val="center"/>
        <w:rPr>
          <w:rFonts w:hint="eastAsia" w:ascii="黑体" w:hAnsi="宋体" w:eastAsia="黑体" w:cs="黑体"/>
          <w:b/>
          <w:sz w:val="36"/>
          <w:szCs w:val="36"/>
          <w:shd w:val="clear" w:fill="FFFFFF"/>
          <w:lang w:val="en-US"/>
        </w:rPr>
      </w:pPr>
      <w:r>
        <w:rPr>
          <w:shd w:val="clear" w:fill="FFFFFF"/>
          <w:lang w:val="en-US"/>
        </w:rPr>
        <w:drawing>
          <wp:inline distT="0" distB="0" distL="114300" distR="114300">
            <wp:extent cx="4562475" cy="16859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480" w:firstLineChars="200"/>
        <w:jc w:val="center"/>
        <w:rPr>
          <w:rFonts w:hint="eastAsia" w:ascii="黑体" w:hAnsi="宋体" w:eastAsia="黑体" w:cs="黑体"/>
          <w:b/>
          <w:sz w:val="36"/>
          <w:szCs w:val="36"/>
          <w:shd w:val="clear" w:fill="FFFFFF"/>
          <w:lang w:val="en-US"/>
        </w:rPr>
      </w:pPr>
      <w:r>
        <w:rPr>
          <w:shd w:val="clear" w:fill="FFFFFF"/>
          <w:lang w:val="en-US"/>
        </w:rPr>
        <w:drawing>
          <wp:inline distT="0" distB="0" distL="114300" distR="114300">
            <wp:extent cx="4581525" cy="1743075"/>
            <wp:effectExtent l="0" t="0" r="9525" b="952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723" w:firstLineChars="200"/>
        <w:jc w:val="center"/>
        <w:rPr>
          <w:rFonts w:hint="eastAsia" w:ascii="黑体" w:hAnsi="宋体" w:eastAsia="黑体" w:cs="黑体"/>
          <w:b/>
          <w:sz w:val="36"/>
          <w:szCs w:val="36"/>
          <w:shd w:val="clear" w:fill="FFFFFF"/>
          <w:lang w:val="en-US"/>
        </w:rPr>
      </w:pPr>
    </w:p>
    <w:p>
      <w:pPr>
        <w:pStyle w:val="4"/>
        <w:widowControl/>
        <w:shd w:val="clear" w:fill="FFFFFF"/>
        <w:spacing w:before="0" w:beforeAutospacing="0" w:after="0" w:afterAutospacing="0" w:line="320" w:lineRule="exact"/>
        <w:ind w:left="0" w:right="0" w:firstLine="562" w:firstLineChars="200"/>
        <w:rPr>
          <w:rFonts w:hint="eastAsia" w:ascii="仿宋_GB2312" w:eastAsia="仿宋_GB2312" w:cs="仿宋_GB2312"/>
          <w:b/>
          <w:bCs w:val="0"/>
          <w:color w:val="000000"/>
          <w:sz w:val="28"/>
          <w:szCs w:val="28"/>
          <w:shd w:val="clear" w:fill="FFFFFF"/>
          <w:lang w:val="en-US"/>
        </w:rPr>
      </w:pPr>
      <w:r>
        <w:rPr>
          <w:rFonts w:hint="eastAsia" w:ascii="仿宋_GB2312" w:eastAsia="仿宋_GB2312" w:cs="仿宋_GB2312"/>
          <w:b/>
          <w:bCs w:val="0"/>
          <w:color w:val="000000"/>
          <w:sz w:val="28"/>
          <w:szCs w:val="28"/>
          <w:shd w:val="clear" w:fill="FFFFFF"/>
          <w:lang w:eastAsia="zh-CN"/>
        </w:rPr>
        <w:t>讲师：卢彦声</w:t>
      </w:r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562" w:firstLineChars="200"/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val="en-US"/>
        </w:rPr>
      </w:pPr>
      <w:r>
        <w:rPr>
          <w:rFonts w:hint="eastAsia" w:ascii="仿宋_GB2312" w:eastAsia="仿宋_GB2312" w:cs="仿宋_GB2312"/>
          <w:b/>
          <w:bCs w:val="0"/>
          <w:color w:val="000000"/>
          <w:sz w:val="28"/>
          <w:szCs w:val="28"/>
          <w:shd w:val="clear" w:fill="FFFFFF"/>
          <w:lang w:eastAsia="zh-CN"/>
        </w:rPr>
        <w:t>背景：</w:t>
      </w:r>
      <w:r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eastAsia="zh-CN"/>
        </w:rPr>
        <w:t>北京市盈科（广州）律师事务所 专职律师，名誉合伙人</w:t>
      </w:r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562" w:firstLineChars="200"/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val="en-US"/>
        </w:rPr>
      </w:pPr>
      <w:r>
        <w:rPr>
          <w:rFonts w:hint="eastAsia" w:ascii="仿宋_GB2312" w:eastAsia="仿宋_GB2312" w:cs="仿宋_GB2312"/>
          <w:b/>
          <w:bCs w:val="0"/>
          <w:color w:val="000000"/>
          <w:sz w:val="28"/>
          <w:szCs w:val="28"/>
          <w:shd w:val="clear" w:fill="FFFFFF"/>
          <w:lang w:eastAsia="zh-CN"/>
        </w:rPr>
        <w:t>简介：</w:t>
      </w:r>
      <w:r>
        <w:rPr>
          <w:rFonts w:hint="eastAsia" w:ascii="仿宋_GB2312" w:eastAsia="仿宋_GB2312" w:cs="仿宋_GB2312"/>
          <w:color w:val="000000"/>
          <w:sz w:val="28"/>
          <w:szCs w:val="28"/>
          <w:shd w:val="clear" w:fill="FFFFFF"/>
          <w:lang w:eastAsia="zh-CN"/>
        </w:rPr>
        <w:t>从事多年法律工作，先后在三家律师事务所工作，负责处理公司债权债务等民事纠纷和刑事诉讼案件；参与办理三百余起合同纠纷、房屋买卖纠纷、租赁纠纷，重大刑事诉讼等案件；精通各种法律文书的写作，熟知整个法律诉讼程序，具有较强的庭辩能力和诉讼经验；法学理论功底深厚。办案特点是分析全面，常有独到见解，深受当事人信赖。</w:t>
      </w:r>
    </w:p>
    <w:p>
      <w:pPr>
        <w:pStyle w:val="4"/>
        <w:widowControl/>
        <w:shd w:val="clear" w:fill="FFFFFF"/>
        <w:spacing w:line="320" w:lineRule="exact"/>
        <w:ind w:left="0" w:firstLine="723" w:firstLineChars="200"/>
        <w:rPr>
          <w:rFonts w:hint="eastAsia" w:ascii="黑体" w:hAnsi="宋体" w:eastAsia="黑体" w:cs="黑体"/>
          <w:b/>
          <w:sz w:val="36"/>
          <w:szCs w:val="36"/>
          <w:shd w:val="clear" w:fill="FFFFFF"/>
          <w:lang w:val="en-US"/>
        </w:rPr>
      </w:pPr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黑体" w:hAnsi="宋体" w:eastAsia="黑体" w:cs="黑体"/>
          <w:b/>
          <w:sz w:val="32"/>
          <w:szCs w:val="36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sz w:val="32"/>
          <w:szCs w:val="36"/>
          <w:shd w:val="clear" w:fill="FFFFFF"/>
          <w:lang w:eastAsia="zh-CN"/>
        </w:rPr>
        <w:t>《二手房交易案例分析——共有产权房，不是一人说了算》</w:t>
      </w:r>
    </w:p>
    <w:p>
      <w:pPr>
        <w:pStyle w:val="4"/>
        <w:widowControl/>
        <w:shd w:val="clear" w:fill="FFFFFF"/>
        <w:spacing w:before="0" w:beforeAutospacing="0" w:after="0" w:afterAutospacing="0" w:line="360" w:lineRule="atLeast"/>
        <w:ind w:left="0" w:right="0" w:firstLine="482"/>
        <w:jc w:val="center"/>
        <w:rPr>
          <w:rFonts w:hint="eastAsia" w:ascii="黑体" w:hAnsi="宋体" w:eastAsia="黑体" w:cs="黑体"/>
          <w:b/>
          <w:sz w:val="32"/>
          <w:szCs w:val="36"/>
          <w:shd w:val="clear" w:fill="FFFFFF"/>
          <w:lang w:val="en-US"/>
        </w:rPr>
      </w:pPr>
      <w:r>
        <w:rPr>
          <w:rFonts w:hint="eastAsia" w:ascii="黑体" w:hAnsi="宋体" w:eastAsia="黑体" w:cs="黑体"/>
          <w:b/>
          <w:sz w:val="32"/>
          <w:szCs w:val="36"/>
          <w:shd w:val="clear" w:fill="FFFFFF"/>
          <w:lang w:eastAsia="zh-CN"/>
        </w:rPr>
        <w:t>（电子书课程）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723" w:firstLineChars="200"/>
        <w:jc w:val="center"/>
        <w:rPr>
          <w:rFonts w:hint="eastAsia" w:ascii="黑体" w:hAnsi="宋体" w:eastAsia="黑体" w:cs="宋体"/>
          <w:b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 w:val="0"/>
        <w:suppressLineNumbers w:val="0"/>
        <w:tabs>
          <w:tab w:val="left" w:pos="6555"/>
        </w:tabs>
        <w:spacing w:before="0" w:beforeAutospacing="0" w:after="0" w:afterAutospacing="0" w:line="480" w:lineRule="auto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32"/>
          <w:lang w:val="en-US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32"/>
          <w:lang w:val="en-US" w:eastAsia="zh-CN" w:bidi="ar"/>
        </w:rPr>
        <w:t>共有产权房屋是指，此房屋不只属于一个人，它属于两个或以上的权利主体，而这些人对房屋都享有房屋产权，也被称为房屋的共有人。</w:t>
      </w:r>
    </w:p>
    <w:p>
      <w:pPr>
        <w:keepNext w:val="0"/>
        <w:keepLines w:val="0"/>
        <w:widowControl w:val="0"/>
        <w:suppressLineNumbers w:val="0"/>
        <w:tabs>
          <w:tab w:val="left" w:pos="6555"/>
        </w:tabs>
        <w:spacing w:before="0" w:beforeAutospacing="0" w:after="0" w:afterAutospacing="0" w:line="480" w:lineRule="auto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32"/>
          <w:lang w:val="en-US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32"/>
          <w:lang w:val="en-US" w:eastAsia="zh-CN" w:bidi="ar"/>
        </w:rPr>
        <w:t>在交易共有房屋的过程中，经纪人及交易双方需注意哪些事项？</w:t>
      </w:r>
    </w:p>
    <w:p>
      <w:pPr>
        <w:keepNext w:val="0"/>
        <w:keepLines w:val="0"/>
        <w:widowControl w:val="0"/>
        <w:suppressLineNumbers w:val="0"/>
        <w:tabs>
          <w:tab w:val="left" w:pos="6555"/>
        </w:tabs>
        <w:spacing w:before="0" w:beforeAutospacing="0" w:after="0" w:afterAutospacing="0" w:line="480" w:lineRule="auto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32"/>
          <w:lang w:val="en-US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32"/>
          <w:lang w:val="en-US" w:eastAsia="zh-CN" w:bidi="ar"/>
        </w:rPr>
        <w:t>在交易共有房屋的过程中，如何确保签订的合同有效？</w:t>
      </w:r>
    </w:p>
    <w:p>
      <w:pPr>
        <w:keepNext w:val="0"/>
        <w:keepLines w:val="0"/>
        <w:widowControl w:val="0"/>
        <w:suppressLineNumbers w:val="0"/>
        <w:tabs>
          <w:tab w:val="left" w:pos="6555"/>
        </w:tabs>
        <w:spacing w:before="0" w:beforeAutospacing="0" w:after="0" w:afterAutospacing="0" w:line="480" w:lineRule="auto"/>
        <w:ind w:left="0" w:right="0" w:firstLine="560" w:firstLineChars="200"/>
        <w:jc w:val="both"/>
        <w:rPr>
          <w:rFonts w:hint="eastAsia" w:ascii="仿宋_GB2312" w:hAnsi="宋体" w:eastAsia="仿宋_GB2312" w:cs="仿宋_GB2312"/>
          <w:sz w:val="28"/>
          <w:szCs w:val="32"/>
          <w:lang w:val="en-US" w:bidi="ar"/>
        </w:rPr>
      </w:pPr>
      <w:r>
        <w:rPr>
          <w:rFonts w:hint="eastAsia" w:ascii="仿宋_GB2312" w:hAnsi="宋体" w:eastAsia="仿宋_GB2312" w:cs="仿宋_GB2312"/>
          <w:kern w:val="2"/>
          <w:sz w:val="28"/>
          <w:szCs w:val="32"/>
          <w:lang w:val="en-US" w:eastAsia="zh-CN" w:bidi="ar"/>
        </w:rPr>
        <w:t>本次课程精选三篇案例进行分析，解答以上两个疑问，帮助经纪人增强法律意识，减少交易风险。</w:t>
      </w:r>
    </w:p>
    <w:p>
      <w:pPr>
        <w:keepNext w:val="0"/>
        <w:keepLines w:val="0"/>
        <w:widowControl w:val="0"/>
        <w:suppressLineNumbers w:val="0"/>
        <w:tabs>
          <w:tab w:val="left" w:pos="6555"/>
        </w:tabs>
        <w:spacing w:before="0" w:beforeAutospacing="0" w:after="0" w:afterAutospacing="0" w:line="480" w:lineRule="auto"/>
        <w:ind w:left="0" w:right="0" w:firstLine="420" w:firstLineChars="200"/>
        <w:jc w:val="center"/>
        <w:rPr>
          <w:rFonts w:hint="eastAsia" w:ascii="仿宋_GB2312" w:hAnsi="宋体" w:eastAsia="仿宋_GB2312" w:cs="仿宋_GB2312"/>
          <w:sz w:val="28"/>
          <w:szCs w:val="32"/>
          <w:lang w:val="en-US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drawing>
          <wp:inline distT="0" distB="0" distL="114300" distR="114300">
            <wp:extent cx="4610100" cy="1800225"/>
            <wp:effectExtent l="0" t="0" r="0" b="9525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center"/>
        <w:rPr>
          <w:rFonts w:hint="eastAsia" w:ascii="仿宋_GB2312" w:eastAsia="仿宋_GB2312" w:cs="仿宋_GB2312"/>
          <w:b/>
          <w:bCs w:val="0"/>
          <w:sz w:val="32"/>
          <w:szCs w:val="32"/>
          <w:lang w:val="en-US"/>
        </w:rPr>
      </w:pPr>
    </w:p>
    <w:p/>
    <w:sectPr>
      <w:headerReference r:id="rId3" w:type="default"/>
      <w:footerReference r:id="rId4" w:type="default"/>
      <w:pgSz w:w="11906" w:h="16838"/>
      <w:pgMar w:top="1418" w:right="1135" w:bottom="1418" w:left="1418" w:header="283" w:footer="283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黑体"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2000019F" w:csb1="00000000"/>
  </w:font>
  <w:font w:name="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@仿宋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20970" cy="792480"/>
          <wp:effectExtent l="0" t="0" r="17780" b="7620"/>
          <wp:docPr id="5" name="图片 5" descr="页脚（宽14.5cm x 高2.2cm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页脚（宽14.5cm x 高2.2cm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097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5220970" cy="792480"/>
          <wp:effectExtent l="0" t="0" r="17780" b="7620"/>
          <wp:docPr id="4" name="图片 4" descr="页眉（宽14.5cm x 高2.2cm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页眉（宽14.5cm x 高2.2cm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2097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20ADE"/>
    <w:rsid w:val="2E220A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8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2018-11-27T06:45:00Z</dcterms:created>
  <dc:creator>yuay(undefined)</dc:creator>
  <cp:lastModifiedBy>yuay(undefined)</cp:lastModifiedBy>
  <dcterms:modified xsi:type="dcterms:W3CDTF">2018-11-27T06:46:34Z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