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b/>
          <w:sz w:val="28"/>
          <w:szCs w:val="28"/>
          <w:lang w:val="en-US"/>
        </w:rPr>
      </w:pPr>
      <w:r>
        <w:rPr>
          <w:rFonts w:hint="eastAsia" w:ascii="仿宋_GB2312" w:hAnsi="宋体" w:eastAsia="仿宋_GB2312" w:cs="仿宋_GB2312"/>
          <w:b/>
          <w:kern w:val="2"/>
          <w:sz w:val="28"/>
          <w:szCs w:val="28"/>
          <w:lang w:val="en-US" w:eastAsia="zh-CN" w:bidi="ar"/>
        </w:rPr>
        <w:t>附件1</w:t>
      </w:r>
    </w:p>
    <w:p>
      <w:pPr>
        <w:keepNext w:val="0"/>
        <w:keepLines w:val="0"/>
        <w:widowControl w:val="0"/>
        <w:suppressLineNumbers w:val="0"/>
        <w:spacing w:before="0" w:beforeAutospacing="0" w:after="0" w:afterAutospacing="0"/>
        <w:ind w:left="0" w:right="0" w:firstLine="883" w:firstLineChars="200"/>
        <w:jc w:val="center"/>
        <w:rPr>
          <w:rFonts w:hint="eastAsia" w:ascii="黑体" w:hAnsi="宋体" w:eastAsia="黑体" w:cs="黑体"/>
          <w:b/>
          <w:sz w:val="44"/>
          <w:szCs w:val="44"/>
          <w:lang w:val="en-US"/>
        </w:rPr>
      </w:pPr>
      <w:bookmarkStart w:id="0" w:name="_GoBack"/>
      <w:r>
        <w:rPr>
          <w:rFonts w:hint="eastAsia" w:ascii="黑体" w:hAnsi="宋体" w:eastAsia="黑体" w:cs="黑体"/>
          <w:b/>
          <w:kern w:val="2"/>
          <w:sz w:val="44"/>
          <w:szCs w:val="44"/>
          <w:lang w:val="en-US" w:eastAsia="zh-CN" w:bidi="ar"/>
        </w:rPr>
        <w:t>课程及讲师简介</w:t>
      </w:r>
      <w:bookmarkEnd w:id="0"/>
    </w:p>
    <w:p>
      <w:pPr>
        <w:keepNext w:val="0"/>
        <w:keepLines w:val="0"/>
        <w:widowControl w:val="0"/>
        <w:suppressLineNumbers w:val="0"/>
        <w:spacing w:before="0" w:beforeAutospacing="0" w:after="0" w:afterAutospacing="0"/>
        <w:ind w:left="0" w:right="0" w:firstLine="883" w:firstLineChars="200"/>
        <w:jc w:val="center"/>
        <w:rPr>
          <w:rFonts w:hint="eastAsia" w:ascii="黑体" w:hAnsi="宋体" w:eastAsia="黑体" w:cs="黑体"/>
          <w:b/>
          <w:sz w:val="44"/>
          <w:szCs w:val="44"/>
          <w:lang w:val="en-US"/>
        </w:rPr>
      </w:pPr>
      <w:r>
        <w:rPr>
          <w:rFonts w:hint="eastAsia" w:ascii="黑体" w:hAnsi="宋体" w:eastAsia="黑体" w:cs="黑体"/>
          <w:b/>
          <w:kern w:val="2"/>
          <w:sz w:val="44"/>
          <w:szCs w:val="44"/>
          <w:lang w:val="en-US" w:eastAsia="zh-CN" w:bidi="ar"/>
        </w:rPr>
        <w:t xml:space="preserve"> </w:t>
      </w:r>
    </w:p>
    <w:p>
      <w:pPr>
        <w:keepNext w:val="0"/>
        <w:keepLines w:val="0"/>
        <w:widowControl w:val="0"/>
        <w:suppressLineNumbers w:val="0"/>
        <w:spacing w:before="0" w:beforeAutospacing="0" w:after="0" w:afterAutospacing="0" w:line="480" w:lineRule="auto"/>
        <w:ind w:left="0" w:right="0"/>
        <w:jc w:val="left"/>
        <w:rPr>
          <w:rFonts w:hint="eastAsia" w:ascii="黑体" w:hAnsi="宋体" w:eastAsia="黑体" w:cs="黑体"/>
          <w:b/>
          <w:sz w:val="32"/>
          <w:szCs w:val="28"/>
          <w:lang w:val="en-US"/>
        </w:rPr>
      </w:pPr>
      <w:r>
        <w:rPr>
          <w:rFonts w:hint="eastAsia" w:ascii="黑体" w:hAnsi="宋体" w:eastAsia="黑体" w:cs="黑体"/>
          <w:b/>
          <w:kern w:val="2"/>
          <w:sz w:val="32"/>
          <w:szCs w:val="28"/>
          <w:lang w:val="en-US" w:eastAsia="zh-CN" w:bidi="ar"/>
        </w:rPr>
        <w:t>课程大纲：</w:t>
      </w:r>
    </w:p>
    <w:p>
      <w:pPr>
        <w:keepNext w:val="0"/>
        <w:keepLines w:val="0"/>
        <w:widowControl w:val="0"/>
        <w:suppressLineNumbers w:val="0"/>
        <w:spacing w:before="0" w:beforeAutospacing="0" w:after="0" w:afterAutospacing="0" w:line="480" w:lineRule="auto"/>
        <w:ind w:left="0" w:right="0"/>
        <w:jc w:val="left"/>
        <w:rPr>
          <w:rFonts w:hint="eastAsia" w:ascii="仿宋_GB2312" w:eastAsia="仿宋_GB2312" w:cs="仿宋_GB2312"/>
          <w:b/>
          <w:sz w:val="28"/>
          <w:szCs w:val="28"/>
          <w:lang w:val="en-US"/>
        </w:rPr>
      </w:pPr>
      <w:r>
        <w:rPr>
          <w:rFonts w:hint="eastAsia" w:ascii="仿宋_GB2312" w:hAnsi="Times New Roman" w:eastAsia="仿宋_GB2312" w:cs="仿宋_GB2312"/>
          <w:kern w:val="2"/>
          <w:sz w:val="28"/>
          <w:szCs w:val="28"/>
          <w:lang w:val="en-US" w:eastAsia="zh-CN" w:bidi="ar"/>
        </w:rPr>
        <w:t>一、招聘渠道的拓展与应用</w:t>
      </w:r>
    </w:p>
    <w:p>
      <w:pPr>
        <w:keepNext w:val="0"/>
        <w:keepLines w:val="0"/>
        <w:widowControl w:val="0"/>
        <w:suppressLineNumbers w:val="0"/>
        <w:spacing w:before="0" w:beforeAutospacing="0" w:after="0" w:afterAutospacing="0" w:line="480" w:lineRule="auto"/>
        <w:ind w:left="0" w:right="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二、招聘面试技巧</w:t>
      </w:r>
    </w:p>
    <w:p>
      <w:pPr>
        <w:keepNext w:val="0"/>
        <w:keepLines w:val="0"/>
        <w:widowControl w:val="0"/>
        <w:suppressLineNumbers w:val="0"/>
        <w:spacing w:before="0" w:beforeAutospacing="0" w:after="0" w:afterAutospacing="0" w:line="480" w:lineRule="auto"/>
        <w:ind w:left="0" w:right="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三、如何在新人入职后快速融入团体</w:t>
      </w:r>
    </w:p>
    <w:p>
      <w:pPr>
        <w:keepNext w:val="0"/>
        <w:keepLines w:val="0"/>
        <w:widowControl w:val="0"/>
        <w:suppressLineNumbers w:val="0"/>
        <w:spacing w:before="0" w:beforeAutospacing="0" w:after="0" w:afterAutospacing="0" w:line="480" w:lineRule="auto"/>
        <w:ind w:left="0" w:right="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四、如何引导新人快速适应工作</w:t>
      </w:r>
    </w:p>
    <w:p>
      <w:pPr>
        <w:keepNext w:val="0"/>
        <w:keepLines w:val="0"/>
        <w:widowControl w:val="0"/>
        <w:suppressLineNumbers w:val="0"/>
        <w:spacing w:before="0" w:beforeAutospacing="0" w:after="0" w:afterAutospacing="0" w:line="480" w:lineRule="auto"/>
        <w:ind w:left="0" w:right="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五、新人入职三个月内的有效管理</w:t>
      </w:r>
    </w:p>
    <w:p>
      <w:pPr>
        <w:keepNext w:val="0"/>
        <w:keepLines w:val="0"/>
        <w:widowControl w:val="0"/>
        <w:suppressLineNumbers w:val="0"/>
        <w:spacing w:before="0" w:beforeAutospacing="0" w:after="0" w:afterAutospacing="0" w:line="480" w:lineRule="auto"/>
        <w:ind w:left="0" w:right="0"/>
        <w:jc w:val="left"/>
        <w:rPr>
          <w:rFonts w:hint="eastAsia" w:ascii="黑体" w:hAnsi="宋体" w:eastAsia="黑体" w:cs="黑体"/>
          <w:b/>
          <w:sz w:val="36"/>
          <w:szCs w:val="36"/>
          <w:lang w:val="en-US"/>
        </w:rPr>
      </w:pPr>
    </w:p>
    <w:p>
      <w:pPr>
        <w:keepNext w:val="0"/>
        <w:keepLines w:val="0"/>
        <w:widowControl w:val="0"/>
        <w:suppressLineNumbers w:val="0"/>
        <w:spacing w:before="0" w:beforeAutospacing="0" w:after="0" w:afterAutospacing="0" w:line="480" w:lineRule="auto"/>
        <w:ind w:left="0" w:right="0"/>
        <w:jc w:val="left"/>
        <w:rPr>
          <w:rFonts w:hint="eastAsia" w:ascii="黑体" w:hAnsi="宋体" w:eastAsia="黑体" w:cs="黑体"/>
          <w:b/>
          <w:sz w:val="36"/>
          <w:szCs w:val="36"/>
          <w:lang w:val="en-US"/>
        </w:rPr>
      </w:pPr>
    </w:p>
    <w:p>
      <w:pPr>
        <w:keepNext w:val="0"/>
        <w:keepLines w:val="0"/>
        <w:widowControl w:val="0"/>
        <w:suppressLineNumbers w:val="0"/>
        <w:spacing w:before="0" w:beforeAutospacing="0" w:after="0" w:afterAutospacing="0" w:line="480" w:lineRule="auto"/>
        <w:ind w:left="0" w:right="0"/>
        <w:jc w:val="center"/>
        <w:rPr>
          <w:rFonts w:hint="eastAsia" w:ascii="黑体" w:hAnsi="宋体" w:eastAsia="黑体" w:cs="黑体"/>
          <w:b/>
          <w:sz w:val="36"/>
          <w:szCs w:val="36"/>
          <w:lang w:val="en-US"/>
        </w:rPr>
      </w:pPr>
      <w:r>
        <w:rPr>
          <w:rFonts w:hint="eastAsia" w:ascii="黑体" w:hAnsi="宋体" w:eastAsia="黑体" w:cs="黑体"/>
          <w:b/>
          <w:kern w:val="2"/>
          <w:sz w:val="36"/>
          <w:szCs w:val="36"/>
          <w:lang w:val="en-US" w:eastAsia="zh-CN" w:bidi="ar"/>
        </w:rPr>
        <w:drawing>
          <wp:inline distT="0" distB="0" distL="114300" distR="114300">
            <wp:extent cx="1847850" cy="2466975"/>
            <wp:effectExtent l="0" t="0" r="0" b="9525"/>
            <wp:docPr id="1" name="图片 1" descr="b5bb6690e937a664668efbd252a43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5bb6690e937a664668efbd252a43e1"/>
                    <pic:cNvPicPr>
                      <a:picLocks noChangeAspect="1"/>
                    </pic:cNvPicPr>
                  </pic:nvPicPr>
                  <pic:blipFill>
                    <a:blip r:embed="rId4"/>
                    <a:srcRect l="7042" t="15831" r="8803"/>
                    <a:stretch>
                      <a:fillRect/>
                    </a:stretch>
                  </pic:blipFill>
                  <pic:spPr>
                    <a:xfrm>
                      <a:off x="0" y="0"/>
                      <a:ext cx="1847850" cy="2466975"/>
                    </a:xfrm>
                    <a:prstGeom prst="rect">
                      <a:avLst/>
                    </a:prstGeom>
                    <a:noFill/>
                    <a:ln>
                      <a:noFill/>
                    </a:ln>
                  </pic:spPr>
                </pic:pic>
              </a:graphicData>
            </a:graphic>
          </wp:inline>
        </w:drawing>
      </w:r>
    </w:p>
    <w:p>
      <w:pPr>
        <w:pStyle w:val="4"/>
        <w:widowControl/>
        <w:numPr>
          <w:ilvl w:val="0"/>
          <w:numId w:val="1"/>
        </w:numPr>
        <w:spacing w:line="480" w:lineRule="auto"/>
        <w:ind w:left="420" w:hanging="420" w:firstLineChars="0"/>
        <w:rPr>
          <w:rFonts w:hint="eastAsia" w:ascii="仿宋_GB2312" w:hAnsi="宋体" w:eastAsia="仿宋_GB2312" w:cs="仿宋_GB2312"/>
          <w:b/>
          <w:bCs w:val="0"/>
          <w:sz w:val="28"/>
          <w:szCs w:val="32"/>
          <w:lang w:val="en-US"/>
        </w:rPr>
      </w:pPr>
      <w:r>
        <w:rPr>
          <w:rFonts w:hint="eastAsia" w:ascii="仿宋_GB2312" w:hAnsi="宋体" w:eastAsia="仿宋_GB2312" w:cs="仿宋_GB2312"/>
          <w:b/>
          <w:bCs w:val="0"/>
          <w:sz w:val="28"/>
          <w:szCs w:val="32"/>
          <w:lang w:eastAsia="zh-CN"/>
        </w:rPr>
        <w:t>讲师：温海霞</w:t>
      </w:r>
    </w:p>
    <w:p>
      <w:pPr>
        <w:keepNext w:val="0"/>
        <w:keepLines w:val="0"/>
        <w:widowControl/>
        <w:suppressLineNumbers w:val="0"/>
        <w:spacing w:before="0" w:beforeAutospacing="0" w:after="0" w:afterAutospacing="0" w:line="480" w:lineRule="auto"/>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b/>
          <w:bCs w:val="0"/>
          <w:kern w:val="2"/>
          <w:sz w:val="28"/>
          <w:szCs w:val="28"/>
          <w:lang w:val="en-US" w:eastAsia="zh-CN" w:bidi="ar"/>
        </w:rPr>
        <w:t>背景：</w:t>
      </w:r>
      <w:r>
        <w:rPr>
          <w:rFonts w:hint="eastAsia" w:ascii="仿宋_GB2312" w:hAnsi="宋体" w:eastAsia="仿宋_GB2312" w:cs="仿宋_GB2312"/>
          <w:kern w:val="2"/>
          <w:sz w:val="28"/>
          <w:szCs w:val="28"/>
          <w:lang w:val="en-US" w:eastAsia="zh-CN" w:bidi="ar"/>
        </w:rPr>
        <w:t>广东良策按揭服务有限公司培训总监</w:t>
      </w:r>
    </w:p>
    <w:p>
      <w:pPr>
        <w:keepNext w:val="0"/>
        <w:keepLines w:val="0"/>
        <w:widowControl/>
        <w:suppressLineNumbers w:val="0"/>
        <w:spacing w:before="0" w:beforeAutospacing="0" w:after="0" w:afterAutospacing="0" w:line="480" w:lineRule="auto"/>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曾任房天下二手房广州分公司培训总监</w:t>
      </w:r>
    </w:p>
    <w:p>
      <w:pPr>
        <w:keepNext w:val="0"/>
        <w:keepLines w:val="0"/>
        <w:widowControl/>
        <w:suppressLineNumbers w:val="0"/>
        <w:spacing w:before="0" w:beforeAutospacing="0" w:after="0" w:afterAutospacing="0" w:line="480" w:lineRule="auto"/>
        <w:ind w:left="0" w:right="0" w:firstLine="840" w:firstLineChars="3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曾任满堂红（现广州链家）高级内训师</w:t>
      </w:r>
    </w:p>
    <w:p>
      <w:pPr>
        <w:keepNext w:val="0"/>
        <w:keepLines w:val="0"/>
        <w:widowControl w:val="0"/>
        <w:suppressLineNumbers w:val="0"/>
        <w:spacing w:before="0" w:beforeAutospacing="0" w:after="0" w:afterAutospacing="0" w:line="480" w:lineRule="auto"/>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b/>
          <w:bCs w:val="0"/>
          <w:kern w:val="2"/>
          <w:sz w:val="28"/>
          <w:szCs w:val="32"/>
          <w:lang w:val="en-US" w:eastAsia="zh-CN" w:bidi="ar"/>
        </w:rPr>
        <w:t>擅长授课类型：</w:t>
      </w:r>
      <w:r>
        <w:rPr>
          <w:rFonts w:hint="eastAsia" w:ascii="仿宋_GB2312" w:hAnsi="宋体" w:eastAsia="仿宋_GB2312" w:cs="仿宋_GB2312"/>
          <w:kern w:val="2"/>
          <w:sz w:val="28"/>
          <w:szCs w:val="32"/>
          <w:lang w:val="en-US" w:eastAsia="zh-CN" w:bidi="ar"/>
        </w:rPr>
        <w:t>《双向管理》、《店长之店铺管理》、《店长之招聘与面试》、《有效沟通》</w:t>
      </w:r>
    </w:p>
    <w:p>
      <w:pPr>
        <w:keepNext w:val="0"/>
        <w:keepLines w:val="0"/>
        <w:widowControl w:val="0"/>
        <w:suppressLineNumbers w:val="0"/>
        <w:spacing w:before="0" w:beforeAutospacing="0" w:after="0" w:afterAutospacing="0" w:line="480" w:lineRule="auto"/>
        <w:ind w:left="0" w:right="0"/>
        <w:jc w:val="left"/>
        <w:rPr>
          <w:bCs/>
          <w:color w:val="000000"/>
          <w:sz w:val="28"/>
          <w:szCs w:val="28"/>
          <w:lang w:val="en-US"/>
        </w:rPr>
      </w:pPr>
      <w:r>
        <w:rPr>
          <w:rFonts w:hint="eastAsia" w:ascii="仿宋_GB2312" w:hAnsi="Times New Roman" w:eastAsia="仿宋_GB2312" w:cs="仿宋_GB2312"/>
          <w:b/>
          <w:bCs w:val="0"/>
          <w:kern w:val="2"/>
          <w:sz w:val="28"/>
          <w:szCs w:val="24"/>
          <w:lang w:val="en-US" w:eastAsia="zh-CN" w:bidi="ar"/>
        </w:rPr>
        <w:t>个人介绍：</w:t>
      </w:r>
      <w:r>
        <w:rPr>
          <w:rFonts w:hint="eastAsia" w:ascii="仿宋_GB2312" w:hAnsi="Times New Roman" w:eastAsia="仿宋_GB2312" w:cs="仿宋_GB2312"/>
          <w:kern w:val="2"/>
          <w:sz w:val="28"/>
          <w:szCs w:val="24"/>
          <w:lang w:val="en-US" w:eastAsia="zh-CN" w:bidi="ar"/>
        </w:rPr>
        <w:t>从业20年，长期专注于二手房地产行业从业人员的培训、职业规划和市场研究工作。在二手房地产行业拥有相当丰富的实战经验和深厚的行业理论功底，并且在满堂红及房天下和广东良策等公司的培训系统内，拥有多门自主开发课程，极具实用性和行业特色。并且善用体验、互动、启发的教学方式，结合丰富的教学案例分析、生动的模拟演练，最终呈现给学员系统、连贯和实用的课程，真正指导学员在实际的二手买卖、租赁、店长成长系列等项目中学以致用，迄今已为满堂红（现广州链家）地产、房天下地产公司、广东良策等企业建立人才成长体系及成功举办过多场的专题培训课程，均取得良好效果。</w:t>
      </w:r>
    </w:p>
    <w:p>
      <w:pPr>
        <w:keepNext w:val="0"/>
        <w:keepLines w:val="0"/>
        <w:widowControl w:val="0"/>
        <w:suppressLineNumbers w:val="0"/>
        <w:spacing w:before="0" w:beforeAutospacing="0" w:after="0" w:afterAutospacing="0" w:line="360" w:lineRule="auto"/>
        <w:ind w:left="0" w:right="0"/>
        <w:jc w:val="left"/>
        <w:rPr>
          <w:b/>
          <w:color w:val="000000"/>
          <w:sz w:val="28"/>
          <w:szCs w:val="28"/>
          <w:lang w:val="en-US"/>
        </w:rPr>
      </w:pPr>
    </w:p>
    <w:p>
      <w:pPr>
        <w:keepNext w:val="0"/>
        <w:keepLines w:val="0"/>
        <w:widowControl w:val="0"/>
        <w:suppressLineNumbers w:val="0"/>
        <w:spacing w:before="0" w:beforeAutospacing="0" w:after="0" w:afterAutospacing="0" w:line="360" w:lineRule="auto"/>
        <w:ind w:left="0" w:right="0"/>
        <w:jc w:val="left"/>
        <w:rPr>
          <w:b/>
          <w:color w:val="000000"/>
          <w:sz w:val="28"/>
          <w:szCs w:val="28"/>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DFE52"/>
    <w:multiLevelType w:val="multilevel"/>
    <w:tmpl w:val="AF6DFE52"/>
    <w:lvl w:ilvl="0" w:tentative="0">
      <w:start w:val="1"/>
      <w:numFmt w:val="bullet"/>
      <w:lvlText w:val=""/>
      <w:lvlJc w:val="left"/>
      <w:pPr>
        <w:ind w:left="420" w:hanging="420"/>
      </w:pPr>
      <w:rPr>
        <w:rFonts w:hint="default" w:ascii="Wingdings" w:hAnsi="Wingdings" w:cs="Wingdings"/>
        <w:sz w:val="36"/>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B4534"/>
    <w:rsid w:val="632B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2019-03-21T06:27:00Z</dcterms:created>
  <dc:creator>藍色</dc:creator>
  <cp:lastModifiedBy>藍色</cp:lastModifiedBy>
  <dcterms:modified xsi:type="dcterms:W3CDTF">2019-03-21T06:28:11Z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