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04D4" w:rsidRDefault="002C04D4" w:rsidP="002C04D4">
      <w:pPr>
        <w:jc w:val="left"/>
        <w:rPr>
          <w:rFonts w:ascii="宋体" w:hAnsi="宋体" w:cs="宋体" w:hint="eastAsia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  <w:lang w:bidi="ar"/>
        </w:rPr>
        <w:t>附件1</w:t>
      </w:r>
    </w:p>
    <w:p w:rsidR="002C04D4" w:rsidRDefault="002C04D4" w:rsidP="002C04D4">
      <w:pPr>
        <w:widowControl/>
        <w:jc w:val="center"/>
        <w:rPr>
          <w:rFonts w:ascii="黑体" w:eastAsia="黑体" w:hAnsi="宋体" w:cs="黑体" w:hint="eastAsia"/>
          <w:b/>
          <w:color w:val="333333"/>
          <w:sz w:val="44"/>
          <w:szCs w:val="44"/>
          <w:shd w:val="clear" w:color="auto" w:fill="FFFFFF"/>
        </w:rPr>
      </w:pPr>
      <w:r>
        <w:rPr>
          <w:rFonts w:ascii="黑体" w:eastAsia="黑体" w:hAnsi="宋体" w:cs="黑体" w:hint="eastAsia"/>
          <w:b/>
          <w:color w:val="333333"/>
          <w:sz w:val="44"/>
          <w:szCs w:val="44"/>
          <w:shd w:val="clear" w:color="auto" w:fill="FFFFFF"/>
          <w:lang w:bidi="ar"/>
        </w:rPr>
        <w:t>课程及讲师简介</w:t>
      </w:r>
    </w:p>
    <w:p w:rsidR="002C04D4" w:rsidRDefault="002C04D4" w:rsidP="002C04D4">
      <w:pPr>
        <w:widowControl/>
        <w:jc w:val="left"/>
        <w:rPr>
          <w:rFonts w:ascii="FangSong_GB2312" w:eastAsia="FangSong_GB2312" w:cs="FangSong_GB2312" w:hint="eastAsia"/>
          <w:color w:val="333333"/>
          <w:sz w:val="28"/>
          <w:szCs w:val="28"/>
          <w:shd w:val="clear" w:color="auto" w:fill="FFFFFF"/>
        </w:rPr>
      </w:pPr>
      <w:r>
        <w:rPr>
          <w:rFonts w:ascii="FangSong_GB2312" w:eastAsia="FangSong_GB2312" w:hAnsi="Times New Roman" w:cs="FangSong_GB2312" w:hint="eastAsia"/>
          <w:color w:val="333333"/>
          <w:sz w:val="28"/>
          <w:szCs w:val="28"/>
          <w:shd w:val="clear" w:color="auto" w:fill="FFFFFF"/>
          <w:lang w:bidi="ar"/>
        </w:rPr>
        <w:t xml:space="preserve"> </w:t>
      </w:r>
    </w:p>
    <w:p w:rsidR="002C04D4" w:rsidRDefault="002C04D4" w:rsidP="002C04D4">
      <w:pPr>
        <w:widowControl/>
        <w:jc w:val="left"/>
        <w:rPr>
          <w:rFonts w:ascii="黑体" w:eastAsia="黑体" w:hAnsi="宋体" w:cs="黑体" w:hint="eastAsia"/>
          <w:b/>
          <w:color w:val="333333"/>
          <w:sz w:val="32"/>
          <w:szCs w:val="32"/>
          <w:shd w:val="clear" w:color="auto" w:fill="FFFFFF"/>
        </w:rPr>
      </w:pPr>
      <w:r>
        <w:rPr>
          <w:rFonts w:ascii="黑体" w:eastAsia="黑体" w:hAnsi="宋体" w:cs="黑体" w:hint="eastAsia"/>
          <w:b/>
          <w:color w:val="333333"/>
          <w:sz w:val="32"/>
          <w:szCs w:val="32"/>
          <w:shd w:val="clear" w:color="auto" w:fill="FFFFFF"/>
          <w:lang w:bidi="ar"/>
        </w:rPr>
        <w:t>课程大纲</w:t>
      </w:r>
    </w:p>
    <w:p w:rsidR="002C04D4" w:rsidRDefault="002C04D4" w:rsidP="002C04D4">
      <w:pPr>
        <w:spacing w:line="360" w:lineRule="auto"/>
        <w:ind w:firstLineChars="200" w:firstLine="560"/>
        <w:rPr>
          <w:rFonts w:ascii="FangSong_GB2312" w:eastAsia="FangSong_GB2312" w:hAnsi="宋体" w:cs="FangSong_GB2312" w:hint="eastAsia"/>
          <w:kern w:val="0"/>
          <w:sz w:val="28"/>
          <w:szCs w:val="28"/>
          <w:shd w:val="clear" w:color="auto" w:fill="FFFFFF"/>
        </w:rPr>
      </w:pPr>
      <w:r>
        <w:rPr>
          <w:rFonts w:ascii="FangSong_GB2312" w:eastAsia="FangSong_GB2312" w:hAnsi="宋体" w:cs="FangSong_GB2312" w:hint="eastAsia"/>
          <w:kern w:val="0"/>
          <w:sz w:val="28"/>
          <w:szCs w:val="28"/>
          <w:shd w:val="clear" w:color="auto" w:fill="FFFFFF"/>
          <w:lang w:bidi="ar"/>
        </w:rPr>
        <w:t>一、合同签署流程的注意事项</w:t>
      </w:r>
    </w:p>
    <w:p w:rsidR="002C04D4" w:rsidRDefault="002C04D4" w:rsidP="002C04D4">
      <w:pPr>
        <w:spacing w:line="360" w:lineRule="auto"/>
        <w:ind w:left="560"/>
        <w:rPr>
          <w:rFonts w:ascii="FangSong_GB2312" w:eastAsia="FangSong_GB2312" w:hAnsi="宋体" w:cs="FangSong_GB2312" w:hint="eastAsia"/>
          <w:kern w:val="0"/>
          <w:sz w:val="28"/>
          <w:szCs w:val="28"/>
          <w:shd w:val="clear" w:color="auto" w:fill="FFFFFF"/>
        </w:rPr>
      </w:pPr>
      <w:r>
        <w:rPr>
          <w:rFonts w:ascii="FangSong_GB2312" w:eastAsia="FangSong_GB2312" w:hAnsi="宋体" w:cs="FangSong_GB2312" w:hint="eastAsia"/>
          <w:kern w:val="0"/>
          <w:sz w:val="28"/>
          <w:szCs w:val="28"/>
          <w:shd w:val="clear" w:color="auto" w:fill="FFFFFF"/>
          <w:lang w:bidi="ar"/>
        </w:rPr>
        <w:t>二、合同条款约定不明容易引发的纠纷</w:t>
      </w:r>
    </w:p>
    <w:p w:rsidR="002C04D4" w:rsidRDefault="002C04D4" w:rsidP="002C04D4">
      <w:pPr>
        <w:spacing w:line="360" w:lineRule="auto"/>
        <w:ind w:left="567"/>
        <w:rPr>
          <w:rFonts w:ascii="FangSong_GB2312" w:eastAsia="FangSong_GB2312" w:hAnsi="宋体" w:cs="FangSong_GB2312" w:hint="eastAsia"/>
          <w:kern w:val="0"/>
          <w:sz w:val="28"/>
          <w:szCs w:val="28"/>
          <w:shd w:val="clear" w:color="auto" w:fill="FFFFFF"/>
          <w:lang w:bidi="ar"/>
        </w:rPr>
      </w:pPr>
      <w:r>
        <w:rPr>
          <w:rFonts w:ascii="FangSong_GB2312" w:eastAsia="FangSong_GB2312" w:hAnsi="宋体" w:cs="FangSong_GB2312" w:hint="eastAsia"/>
          <w:kern w:val="0"/>
          <w:sz w:val="28"/>
          <w:szCs w:val="28"/>
          <w:shd w:val="clear" w:color="auto" w:fill="FFFFFF"/>
          <w:lang w:bidi="ar"/>
        </w:rPr>
        <w:t>三、案例分析（法院判决要点分析）</w:t>
      </w:r>
    </w:p>
    <w:p w:rsidR="002C04D4" w:rsidRDefault="002C04D4" w:rsidP="002C04D4">
      <w:pPr>
        <w:spacing w:line="360" w:lineRule="auto"/>
        <w:ind w:left="567"/>
        <w:rPr>
          <w:rFonts w:ascii="FangSong_GB2312" w:eastAsia="FangSong_GB2312" w:hAnsi="宋体" w:cs="FangSong_GB2312" w:hint="eastAsia"/>
          <w:kern w:val="0"/>
          <w:sz w:val="28"/>
          <w:szCs w:val="28"/>
          <w:shd w:val="clear" w:color="auto" w:fill="FFFFFF"/>
        </w:rPr>
      </w:pPr>
      <w:r>
        <w:rPr>
          <w:rFonts w:ascii="FangSong_GB2312" w:eastAsia="FangSong_GB2312" w:hAnsi="宋体" w:cs="FangSong_GB2312" w:hint="eastAsia"/>
          <w:kern w:val="0"/>
          <w:sz w:val="28"/>
          <w:szCs w:val="28"/>
          <w:shd w:val="clear" w:color="auto" w:fill="FFFFFF"/>
          <w:lang w:bidi="ar"/>
        </w:rPr>
        <w:t>四</w:t>
      </w:r>
      <w:r>
        <w:rPr>
          <w:rFonts w:ascii="FangSong_GB2312" w:eastAsia="FangSong_GB2312" w:hAnsi="宋体" w:cs="FangSong_GB2312" w:hint="eastAsia"/>
          <w:kern w:val="0"/>
          <w:sz w:val="28"/>
          <w:szCs w:val="28"/>
          <w:shd w:val="clear" w:color="auto" w:fill="FFFFFF"/>
        </w:rPr>
        <w:t>、如何规范签署一份高质量合同</w:t>
      </w:r>
    </w:p>
    <w:p w:rsidR="002C04D4" w:rsidRDefault="002C04D4" w:rsidP="002C04D4">
      <w:pPr>
        <w:pStyle w:val="1"/>
        <w:widowControl/>
        <w:spacing w:line="360" w:lineRule="auto"/>
        <w:ind w:firstLine="560"/>
        <w:jc w:val="left"/>
        <w:rPr>
          <w:rFonts w:ascii="FangSong_GB2312" w:eastAsia="FangSong_GB2312" w:hAnsi="宋体" w:cs="FangSong_GB2312" w:hint="eastAsia"/>
          <w:kern w:val="0"/>
          <w:sz w:val="28"/>
          <w:szCs w:val="28"/>
          <w:shd w:val="clear" w:color="auto" w:fill="FFFFFF"/>
        </w:rPr>
      </w:pPr>
      <w:r>
        <w:rPr>
          <w:rFonts w:ascii="FangSong_GB2312" w:eastAsia="FangSong_GB2312" w:hAnsi="宋体" w:cs="FangSong_GB2312" w:hint="eastAsia"/>
          <w:kern w:val="0"/>
          <w:sz w:val="28"/>
          <w:szCs w:val="28"/>
          <w:shd w:val="clear" w:color="auto" w:fill="FFFFFF"/>
        </w:rPr>
        <w:t>五、互动交流</w:t>
      </w:r>
    </w:p>
    <w:p w:rsidR="002C04D4" w:rsidRDefault="002C04D4" w:rsidP="002C04D4">
      <w:pPr>
        <w:pStyle w:val="1"/>
        <w:widowControl/>
        <w:ind w:left="1245" w:firstLine="560"/>
        <w:jc w:val="left"/>
        <w:rPr>
          <w:rFonts w:ascii="FangSong_GB2312" w:eastAsia="FangSong_GB2312" w:hAnsi="宋体" w:cs="FangSong_GB2312" w:hint="eastAsia"/>
          <w:kern w:val="0"/>
          <w:sz w:val="28"/>
          <w:szCs w:val="28"/>
          <w:shd w:val="clear" w:color="auto" w:fill="FFFFFF"/>
        </w:rPr>
      </w:pPr>
    </w:p>
    <w:p w:rsidR="002C04D4" w:rsidRDefault="002C04D4" w:rsidP="002C04D4">
      <w:pPr>
        <w:widowControl/>
        <w:jc w:val="left"/>
        <w:rPr>
          <w:rFonts w:ascii="FangSong_GB2312" w:eastAsia="FangSong_GB2312" w:hAnsi="宋体" w:cs="FangSong_GB2312" w:hint="eastAsia"/>
          <w:kern w:val="0"/>
          <w:sz w:val="28"/>
          <w:szCs w:val="28"/>
          <w:shd w:val="clear" w:color="auto" w:fill="FFFFFF"/>
        </w:rPr>
      </w:pPr>
      <w:r>
        <w:rPr>
          <w:rFonts w:ascii="Times New Roman" w:hAnsi="Times New Roman"/>
          <w:lang w:bidi="ar"/>
        </w:rPr>
        <w:t xml:space="preserve"> </w:t>
      </w:r>
    </w:p>
    <w:p w:rsidR="002C04D4" w:rsidRDefault="002C04D4" w:rsidP="002C04D4">
      <w:pPr>
        <w:widowControl/>
        <w:ind w:firstLineChars="147" w:firstLine="413"/>
        <w:jc w:val="left"/>
        <w:rPr>
          <w:rFonts w:ascii="黑体" w:eastAsia="黑体" w:hAnsi="宋体" w:cs="FangSong_GB2312" w:hint="eastAsia"/>
          <w:b/>
          <w:sz w:val="32"/>
          <w:szCs w:val="32"/>
          <w:shd w:val="clear" w:color="auto" w:fill="FFFFFF"/>
        </w:rPr>
      </w:pPr>
      <w:r>
        <w:rPr>
          <w:rFonts w:ascii="FangSong_GB2312" w:eastAsia="FangSong_GB2312"/>
          <w:b/>
          <w:noProof/>
          <w:color w:val="333333"/>
          <w:sz w:val="28"/>
          <w:szCs w:val="28"/>
          <w:shd w:val="clear" w:color="auto" w:fill="FFFFFF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4477385</wp:posOffset>
            </wp:positionH>
            <wp:positionV relativeFrom="paragraph">
              <wp:posOffset>196850</wp:posOffset>
            </wp:positionV>
            <wp:extent cx="1752600" cy="2264410"/>
            <wp:effectExtent l="0" t="0" r="0" b="254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26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黑体" w:eastAsia="黑体" w:hAnsi="宋体" w:cs="黑体" w:hint="eastAsia"/>
          <w:b/>
          <w:sz w:val="24"/>
          <w:shd w:val="clear" w:color="auto" w:fill="FFFFFF"/>
          <w:lang w:bidi="ar"/>
        </w:rPr>
        <w:t xml:space="preserve">● </w:t>
      </w:r>
      <w:r>
        <w:rPr>
          <w:rFonts w:ascii="黑体" w:eastAsia="黑体" w:hAnsi="宋体" w:cs="黑体" w:hint="eastAsia"/>
          <w:b/>
          <w:sz w:val="32"/>
          <w:szCs w:val="28"/>
          <w:shd w:val="clear" w:color="auto" w:fill="FFFFFF"/>
          <w:lang w:bidi="ar"/>
        </w:rPr>
        <w:t>讲师：周冬云</w:t>
      </w:r>
    </w:p>
    <w:p w:rsidR="002C04D4" w:rsidRDefault="002C04D4" w:rsidP="002C04D4">
      <w:pPr>
        <w:pStyle w:val="1"/>
        <w:widowControl/>
        <w:ind w:left="360" w:firstLineChars="0" w:firstLine="0"/>
        <w:jc w:val="left"/>
        <w:rPr>
          <w:rFonts w:ascii="FangSong_GB2312" w:eastAsia="FangSong_GB2312" w:cs="FangSong_GB2312" w:hint="eastAsia"/>
          <w:bCs/>
          <w:sz w:val="28"/>
          <w:szCs w:val="28"/>
          <w:shd w:val="clear" w:color="auto" w:fill="FFFFFF"/>
        </w:rPr>
      </w:pPr>
      <w:r>
        <w:rPr>
          <w:rFonts w:ascii="FangSong_GB2312" w:eastAsia="FangSong_GB2312" w:cs="FangSong_GB2312" w:hint="eastAsia"/>
          <w:b/>
          <w:sz w:val="28"/>
          <w:szCs w:val="28"/>
          <w:shd w:val="clear" w:color="auto" w:fill="FFFFFF"/>
        </w:rPr>
        <w:t>背景</w:t>
      </w:r>
      <w:r>
        <w:rPr>
          <w:rFonts w:ascii="黑体" w:eastAsia="黑体" w:hAnsi="宋体" w:cs="FangSong_GB2312" w:hint="eastAsia"/>
          <w:b/>
          <w:sz w:val="32"/>
          <w:szCs w:val="32"/>
          <w:shd w:val="clear" w:color="auto" w:fill="FFFFFF"/>
        </w:rPr>
        <w:t>：</w:t>
      </w:r>
      <w:r>
        <w:rPr>
          <w:rFonts w:ascii="FangSong_GB2312" w:eastAsia="FangSong_GB2312" w:cs="FangSong_GB2312" w:hint="eastAsia"/>
          <w:bCs/>
          <w:sz w:val="28"/>
          <w:szCs w:val="28"/>
          <w:shd w:val="clear" w:color="auto" w:fill="FFFFFF"/>
        </w:rPr>
        <w:t>广东天胜律师事务所律师</w:t>
      </w:r>
    </w:p>
    <w:p w:rsidR="002C04D4" w:rsidRDefault="002C04D4" w:rsidP="002C04D4">
      <w:pPr>
        <w:pStyle w:val="1"/>
        <w:widowControl/>
        <w:ind w:left="360" w:firstLineChars="300" w:firstLine="840"/>
        <w:jc w:val="left"/>
        <w:rPr>
          <w:rFonts w:ascii="FangSong_GB2312" w:eastAsia="FangSong_GB2312" w:cs="FangSong_GB2312" w:hint="eastAsia"/>
          <w:bCs/>
          <w:sz w:val="28"/>
          <w:szCs w:val="28"/>
          <w:shd w:val="clear" w:color="auto" w:fill="FFFFFF"/>
        </w:rPr>
      </w:pPr>
      <w:r>
        <w:rPr>
          <w:rFonts w:ascii="FangSong_GB2312" w:eastAsia="FangSong_GB2312" w:cs="FangSong_GB2312" w:hint="eastAsia"/>
          <w:bCs/>
          <w:sz w:val="28"/>
          <w:szCs w:val="28"/>
          <w:shd w:val="clear" w:color="auto" w:fill="FFFFFF"/>
        </w:rPr>
        <w:t>广州市房地产中介协会法律咨询服务中心律师</w:t>
      </w:r>
    </w:p>
    <w:p w:rsidR="002C04D4" w:rsidRDefault="002C04D4" w:rsidP="002C04D4">
      <w:pPr>
        <w:pStyle w:val="1"/>
        <w:widowControl/>
        <w:ind w:left="360" w:firstLineChars="0" w:firstLine="0"/>
        <w:jc w:val="left"/>
        <w:rPr>
          <w:rFonts w:ascii="FangSong_GB2312" w:eastAsia="FangSong_GB2312" w:cs="FangSong_GB2312"/>
          <w:b/>
          <w:sz w:val="28"/>
          <w:szCs w:val="28"/>
          <w:shd w:val="clear" w:color="auto" w:fill="FFFFFF"/>
        </w:rPr>
      </w:pPr>
      <w:r>
        <w:rPr>
          <w:rFonts w:ascii="FangSong_GB2312" w:eastAsia="FangSong_GB2312" w:hint="eastAsia"/>
          <w:b/>
          <w:sz w:val="28"/>
          <w:szCs w:val="28"/>
          <w:shd w:val="clear" w:color="auto" w:fill="FFFFFF"/>
        </w:rPr>
        <w:t>擅长授课类型：</w:t>
      </w:r>
      <w:r>
        <w:rPr>
          <w:rFonts w:ascii="FangSong_GB2312" w:eastAsia="FangSong_GB2312" w:hint="eastAsia"/>
          <w:sz w:val="28"/>
          <w:szCs w:val="28"/>
          <w:shd w:val="clear" w:color="auto" w:fill="FFFFFF"/>
        </w:rPr>
        <w:t>政策法规解读、房地产法律实务</w:t>
      </w:r>
    </w:p>
    <w:p w:rsidR="002C04D4" w:rsidRDefault="002C04D4" w:rsidP="002C04D4">
      <w:pPr>
        <w:pStyle w:val="1"/>
        <w:widowControl/>
        <w:ind w:left="360" w:firstLineChars="0" w:firstLine="0"/>
        <w:jc w:val="left"/>
        <w:rPr>
          <w:rFonts w:ascii="FangSong_GB2312" w:eastAsia="FangSong_GB2312" w:cs="FangSong_GB2312" w:hint="eastAsia"/>
          <w:bCs/>
          <w:sz w:val="28"/>
          <w:szCs w:val="28"/>
          <w:shd w:val="clear" w:color="auto" w:fill="FFFFFF"/>
        </w:rPr>
      </w:pPr>
      <w:r>
        <w:rPr>
          <w:rFonts w:ascii="FangSong_GB2312" w:eastAsia="FangSong_GB2312" w:cs="FangSong_GB2312" w:hint="eastAsia"/>
          <w:b/>
          <w:sz w:val="28"/>
          <w:szCs w:val="28"/>
          <w:shd w:val="clear" w:color="auto" w:fill="FFFFFF"/>
        </w:rPr>
        <w:t>个人简介：</w:t>
      </w:r>
      <w:r>
        <w:rPr>
          <w:rFonts w:ascii="FangSong_GB2312" w:eastAsia="FangSong_GB2312" w:cs="FangSong_GB2312" w:hint="eastAsia"/>
          <w:bCs/>
          <w:sz w:val="28"/>
          <w:szCs w:val="28"/>
          <w:shd w:val="clear" w:color="auto" w:fill="FFFFFF"/>
        </w:rPr>
        <w:t>在人民法院工作15年，从事律师工作19年，并取得中华人民共和国房地产经纪人执业资格。擅长房地产、金融及公司法律事务，担任广州市房屋交易监管中心常年法律顾问多年，协助处理信访案件，并应邀对房地产中介机构及经纪人进行法律知识授课。</w:t>
      </w:r>
    </w:p>
    <w:p w:rsidR="00AA711E" w:rsidRPr="002C04D4" w:rsidRDefault="00AA711E">
      <w:bookmarkStart w:id="0" w:name="_GoBack"/>
      <w:bookmarkEnd w:id="0"/>
    </w:p>
    <w:sectPr w:rsidR="00AA711E" w:rsidRPr="002C04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_GB2312">
    <w:altName w:val="仿宋_GB2312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等线 Light">
    <w:altName w:val="DengXian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4D4"/>
    <w:rsid w:val="002C04D4"/>
    <w:rsid w:val="00AA7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6EBE78-C6C6-4468-A73E-D2F770AE5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04D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rsid w:val="002C04D4"/>
    <w:pPr>
      <w:ind w:firstLineChars="200" w:firstLine="420"/>
    </w:pPr>
    <w:rPr>
      <w:rFonts w:ascii="Times New Roman" w:hAnsi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garea</dc:creator>
  <cp:keywords/>
  <dc:description/>
  <cp:lastModifiedBy> </cp:lastModifiedBy>
  <cp:revision>1</cp:revision>
  <dcterms:created xsi:type="dcterms:W3CDTF">2019-05-28T08:13:00Z</dcterms:created>
  <dcterms:modified xsi:type="dcterms:W3CDTF">2019-05-28T08:14:00Z</dcterms:modified>
</cp:coreProperties>
</file>