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20B0" w14:textId="77777777" w:rsidR="00AB2906" w:rsidRDefault="00AB2906" w:rsidP="00AB2906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附件1</w:t>
      </w:r>
    </w:p>
    <w:p w14:paraId="173DF50E" w14:textId="77777777" w:rsidR="00AB2906" w:rsidRDefault="00AB2906" w:rsidP="00AB2906">
      <w:pPr>
        <w:widowControl/>
        <w:jc w:val="center"/>
        <w:rPr>
          <w:rFonts w:ascii="黑体" w:eastAsia="黑体" w:hAnsi="宋体" w:cs="黑体"/>
          <w:b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sz w:val="44"/>
          <w:szCs w:val="44"/>
          <w:shd w:val="clear" w:color="auto" w:fill="FFFFFF"/>
          <w:lang w:bidi="ar"/>
        </w:rPr>
        <w:t>课程及讲师简介</w:t>
      </w:r>
    </w:p>
    <w:p w14:paraId="3EEEC9E4" w14:textId="77777777" w:rsidR="00AB2906" w:rsidRDefault="00AB2906" w:rsidP="00AB2906">
      <w:pPr>
        <w:widowControl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 xml:space="preserve"> </w:t>
      </w:r>
    </w:p>
    <w:p w14:paraId="69C40552" w14:textId="77777777" w:rsidR="00AB2906" w:rsidRDefault="00AB2906" w:rsidP="00AB2906">
      <w:pPr>
        <w:widowControl/>
        <w:jc w:val="left"/>
        <w:rPr>
          <w:rFonts w:ascii="黑体" w:eastAsia="黑体" w:hAnsi="宋体" w:cs="黑体"/>
          <w:b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b/>
          <w:sz w:val="32"/>
          <w:szCs w:val="32"/>
          <w:shd w:val="clear" w:color="auto" w:fill="FFFFFF"/>
          <w:lang w:bidi="ar"/>
        </w:rPr>
        <w:t>课程大纲</w:t>
      </w:r>
    </w:p>
    <w:p w14:paraId="200CFE4C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1.电话沟通声音要求</w:t>
      </w:r>
    </w:p>
    <w:p w14:paraId="2D84657B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2.电话基本礼仪</w:t>
      </w:r>
    </w:p>
    <w:p w14:paraId="4B35D82E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3.话术流程</w:t>
      </w:r>
    </w:p>
    <w:p w14:paraId="6BB334E6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4.听说技巧</w:t>
      </w:r>
    </w:p>
    <w:p w14:paraId="550153BD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133985" distB="334010" distL="248285" distR="446405" simplePos="0" relativeHeight="251659264" behindDoc="0" locked="0" layoutInCell="1" allowOverlap="1" wp14:anchorId="3EF4DCCE" wp14:editId="52C7AF50">
            <wp:simplePos x="0" y="0"/>
            <wp:positionH relativeFrom="column">
              <wp:posOffset>3905250</wp:posOffset>
            </wp:positionH>
            <wp:positionV relativeFrom="paragraph">
              <wp:posOffset>256540</wp:posOffset>
            </wp:positionV>
            <wp:extent cx="1847850" cy="2176145"/>
            <wp:effectExtent l="0" t="0" r="0" b="14605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660FD" w14:textId="77777777" w:rsidR="00AB2906" w:rsidRDefault="00AB2906" w:rsidP="00AB2906">
      <w:pPr>
        <w:widowControl/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sz w:val="24"/>
          <w:shd w:val="clear" w:color="auto" w:fill="FFFFFF"/>
          <w:lang w:bidi="ar"/>
        </w:rPr>
        <w:t xml:space="preserve">● </w:t>
      </w:r>
      <w:r>
        <w:rPr>
          <w:rFonts w:ascii="黑体" w:eastAsia="黑体" w:hAnsi="宋体" w:cs="黑体" w:hint="eastAsia"/>
          <w:b/>
          <w:sz w:val="32"/>
          <w:szCs w:val="28"/>
          <w:shd w:val="clear" w:color="auto" w:fill="FFFFFF"/>
          <w:lang w:bidi="ar"/>
        </w:rPr>
        <w:t>讲师：黄晓丹</w:t>
      </w:r>
    </w:p>
    <w:p w14:paraId="3CF38FE5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b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背景：</w:t>
      </w: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Q房网•广州培训经理</w:t>
      </w:r>
    </w:p>
    <w:p w14:paraId="66E410B1" w14:textId="77777777" w:rsidR="00AB2906" w:rsidRDefault="00AB2906" w:rsidP="00AB2906">
      <w:pPr>
        <w:spacing w:line="480" w:lineRule="auto"/>
        <w:ind w:firstLineChars="300" w:firstLine="840"/>
        <w:rPr>
          <w:rFonts w:ascii="FangSong_GB2312" w:eastAsia="FangSong_GB2312" w:hAnsi="宋体" w:cs="FangSong_GB2312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TAF培训引导技术认证导师</w:t>
      </w:r>
    </w:p>
    <w:p w14:paraId="56614199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  2017年全国好讲师大赛 全国百强</w:t>
      </w:r>
    </w:p>
    <w:p w14:paraId="6C1E689D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  专注TTT、主持、商务礼仪培训</w:t>
      </w:r>
    </w:p>
    <w:p w14:paraId="65A04DA9" w14:textId="77777777" w:rsidR="00AB2906" w:rsidRDefault="00AB2906" w:rsidP="00AB2906">
      <w:pPr>
        <w:spacing w:line="480" w:lineRule="auto"/>
        <w:rPr>
          <w:rFonts w:ascii="FangSong_GB2312" w:eastAsia="FangSong_GB2312" w:hAnsi="宋体" w:cs="FangSong_GB2312"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  大型商务活动策划主持</w:t>
      </w:r>
    </w:p>
    <w:p w14:paraId="51D04BB2" w14:textId="77777777" w:rsidR="00AB2906" w:rsidRDefault="00AB2906" w:rsidP="00AB2906">
      <w:pPr>
        <w:spacing w:line="580" w:lineRule="exact"/>
        <w:jc w:val="left"/>
        <w:rPr>
          <w:rFonts w:ascii="FangSong_GB2312" w:eastAsia="FangSong_GB2312" w:hAnsi="宋体" w:cs="FangSong_GB2312"/>
          <w:bCs/>
          <w:sz w:val="28"/>
          <w:szCs w:val="28"/>
          <w:lang w:bidi="ar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个人简介：</w:t>
      </w:r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现任Q房网•广州培训经理,专注于礼仪培训领域。以实用性及行业特色为前提，自主研发多门课程。在善用体验、互动、启发、轻松愉悦的教学方式的同时，结合丰富的教学案例分析、生动的模拟演练，最终不仅给予学员系统、连贯、实用的课程，且真正让学员在实际</w:t>
      </w:r>
      <w:proofErr w:type="gramStart"/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工作中懂礼仪</w:t>
      </w:r>
      <w:proofErr w:type="gramEnd"/>
      <w:r>
        <w:rPr>
          <w:rFonts w:ascii="FangSong_GB2312" w:eastAsia="FangSong_GB2312" w:hAnsi="宋体" w:cs="FangSong_GB2312" w:hint="eastAsia"/>
          <w:bCs/>
          <w:sz w:val="28"/>
          <w:szCs w:val="28"/>
          <w:lang w:bidi="ar"/>
        </w:rPr>
        <w:t>、用礼仪、感受礼仪给予自身的专业度、综合素养的提升，这是开单的重大因素之一。</w:t>
      </w:r>
    </w:p>
    <w:p w14:paraId="58884A8D" w14:textId="77777777" w:rsidR="004E4D3B" w:rsidRPr="00AB2906" w:rsidRDefault="004E4D3B">
      <w:bookmarkStart w:id="0" w:name="_GoBack"/>
      <w:bookmarkEnd w:id="0"/>
    </w:p>
    <w:sectPr w:rsidR="004E4D3B" w:rsidRPr="00AB2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AC4D" w14:textId="77777777" w:rsidR="006D2681" w:rsidRDefault="006D2681" w:rsidP="00AB2906">
      <w:r>
        <w:separator/>
      </w:r>
    </w:p>
  </w:endnote>
  <w:endnote w:type="continuationSeparator" w:id="0">
    <w:p w14:paraId="503C714E" w14:textId="77777777" w:rsidR="006D2681" w:rsidRDefault="006D2681" w:rsidP="00A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FDAD" w14:textId="77777777" w:rsidR="006D2681" w:rsidRDefault="006D2681" w:rsidP="00AB2906">
      <w:r>
        <w:separator/>
      </w:r>
    </w:p>
  </w:footnote>
  <w:footnote w:type="continuationSeparator" w:id="0">
    <w:p w14:paraId="217AE0BC" w14:textId="77777777" w:rsidR="006D2681" w:rsidRDefault="006D2681" w:rsidP="00AB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65"/>
    <w:rsid w:val="004E4D3B"/>
    <w:rsid w:val="006D2681"/>
    <w:rsid w:val="009F5D65"/>
    <w:rsid w:val="00A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17AD0-C70B-4B46-A828-250F24AA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2019-08-13T07:09:00Z</dcterms:created>
  <dcterms:modified xsi:type="dcterms:W3CDTF">2019-08-13T07:09:00Z</dcterms:modified>
</cp:coreProperties>
</file>