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80D13" w14:textId="77777777" w:rsidR="00872B13" w:rsidRDefault="00872B13" w:rsidP="00872B13">
      <w:pPr>
        <w:jc w:val="left"/>
        <w:rPr>
          <w:rFonts w:ascii="宋体" w:eastAsia="宋体" w:hAnsi="宋体" w:cs="宋体"/>
          <w:b/>
          <w:sz w:val="28"/>
          <w:szCs w:val="28"/>
        </w:rPr>
      </w:pPr>
      <w:r>
        <w:rPr>
          <w:rFonts w:ascii="宋体" w:eastAsia="宋体" w:hAnsi="宋体" w:cs="宋体" w:hint="eastAsia"/>
          <w:b/>
          <w:sz w:val="28"/>
          <w:szCs w:val="28"/>
          <w:lang w:bidi="ar"/>
        </w:rPr>
        <w:t>附件1</w:t>
      </w:r>
    </w:p>
    <w:p w14:paraId="766A8297" w14:textId="77777777" w:rsidR="00872B13" w:rsidRDefault="00872B13" w:rsidP="00872B13">
      <w:pPr>
        <w:ind w:firstLineChars="200" w:firstLine="883"/>
        <w:jc w:val="center"/>
        <w:rPr>
          <w:rFonts w:ascii="黑体" w:eastAsia="黑体" w:hAnsi="宋体" w:cs="黑体"/>
          <w:b/>
          <w:sz w:val="44"/>
          <w:szCs w:val="44"/>
        </w:rPr>
      </w:pPr>
      <w:r>
        <w:rPr>
          <w:rFonts w:ascii="黑体" w:eastAsia="黑体" w:hAnsi="宋体" w:cs="黑体" w:hint="eastAsia"/>
          <w:b/>
          <w:sz w:val="44"/>
          <w:szCs w:val="44"/>
          <w:lang w:bidi="ar"/>
        </w:rPr>
        <w:t>课程及讲师简介</w:t>
      </w:r>
    </w:p>
    <w:p w14:paraId="6F20E240" w14:textId="77777777" w:rsidR="00872B13" w:rsidRDefault="00872B13" w:rsidP="00872B13">
      <w:pPr>
        <w:ind w:firstLineChars="200" w:firstLine="883"/>
        <w:jc w:val="center"/>
        <w:rPr>
          <w:rFonts w:ascii="黑体" w:eastAsia="黑体" w:hAnsi="宋体" w:cs="黑体"/>
          <w:b/>
          <w:sz w:val="44"/>
          <w:szCs w:val="44"/>
        </w:rPr>
      </w:pPr>
      <w:r>
        <w:rPr>
          <w:rFonts w:ascii="黑体" w:eastAsia="黑体" w:hAnsi="宋体" w:cs="黑体" w:hint="eastAsia"/>
          <w:b/>
          <w:sz w:val="44"/>
          <w:szCs w:val="44"/>
          <w:lang w:bidi="ar"/>
        </w:rPr>
        <w:t xml:space="preserve"> </w:t>
      </w:r>
    </w:p>
    <w:p w14:paraId="5B9493C8" w14:textId="77777777" w:rsidR="00872B13" w:rsidRDefault="00872B13" w:rsidP="00872B13">
      <w:pPr>
        <w:spacing w:line="360" w:lineRule="auto"/>
        <w:jc w:val="left"/>
        <w:rPr>
          <w:rFonts w:ascii="黑体" w:eastAsia="黑体" w:hAnsi="宋体" w:cs="黑体"/>
          <w:b/>
          <w:sz w:val="32"/>
          <w:szCs w:val="28"/>
        </w:rPr>
      </w:pPr>
      <w:r>
        <w:rPr>
          <w:rFonts w:ascii="黑体" w:eastAsia="黑体" w:hAnsi="宋体" w:cs="黑体" w:hint="eastAsia"/>
          <w:b/>
          <w:sz w:val="32"/>
          <w:szCs w:val="28"/>
          <w:lang w:bidi="ar"/>
        </w:rPr>
        <w:t>课程大纲：</w:t>
      </w:r>
    </w:p>
    <w:p w14:paraId="6DF63419" w14:textId="77777777" w:rsidR="00872B13" w:rsidRDefault="00872B13" w:rsidP="00872B13">
      <w:pPr>
        <w:spacing w:line="360" w:lineRule="auto"/>
        <w:ind w:firstLineChars="200" w:firstLine="560"/>
        <w:jc w:val="left"/>
        <w:rPr>
          <w:rFonts w:ascii="FangSong_GB2312" w:eastAsia="FangSong_GB2312" w:cs="FangSong_GB2312"/>
          <w:sz w:val="28"/>
          <w:szCs w:val="28"/>
        </w:rPr>
      </w:pPr>
      <w:r>
        <w:rPr>
          <w:rFonts w:ascii="FangSong_GB2312" w:eastAsia="FangSong_GB2312" w:hAnsi="Times New Roman" w:cs="FangSong_GB2312" w:hint="eastAsia"/>
          <w:sz w:val="28"/>
          <w:szCs w:val="28"/>
          <w:lang w:bidi="ar"/>
        </w:rPr>
        <w:t>1、按揭咨询对经纪人的重要性</w:t>
      </w:r>
    </w:p>
    <w:p w14:paraId="1939981F" w14:textId="77777777" w:rsidR="00872B13" w:rsidRDefault="00872B13" w:rsidP="00872B13">
      <w:pPr>
        <w:spacing w:line="360" w:lineRule="auto"/>
        <w:ind w:firstLineChars="200" w:firstLine="560"/>
        <w:jc w:val="left"/>
        <w:rPr>
          <w:rFonts w:ascii="FangSong_GB2312" w:eastAsia="FangSong_GB2312" w:cs="FangSong_GB2312"/>
          <w:b/>
          <w:sz w:val="28"/>
          <w:szCs w:val="28"/>
        </w:rPr>
      </w:pPr>
      <w:r>
        <w:rPr>
          <w:rFonts w:ascii="FangSong_GB2312" w:eastAsia="FangSong_GB2312" w:hAnsi="Times New Roman" w:cs="FangSong_GB2312" w:hint="eastAsia"/>
          <w:sz w:val="28"/>
          <w:szCs w:val="28"/>
          <w:lang w:bidi="ar"/>
        </w:rPr>
        <w:t>2、按揭贷款的最新政策解读</w:t>
      </w:r>
    </w:p>
    <w:p w14:paraId="518DAC9C" w14:textId="77777777" w:rsidR="00872B13" w:rsidRDefault="00872B13" w:rsidP="00872B13">
      <w:pPr>
        <w:spacing w:line="360" w:lineRule="auto"/>
        <w:ind w:firstLineChars="200" w:firstLine="560"/>
        <w:jc w:val="left"/>
        <w:rPr>
          <w:rFonts w:ascii="FangSong_GB2312" w:eastAsia="FangSong_GB2312" w:cs="FangSong_GB2312"/>
          <w:b/>
          <w:sz w:val="28"/>
          <w:szCs w:val="28"/>
        </w:rPr>
      </w:pPr>
      <w:r>
        <w:rPr>
          <w:rFonts w:ascii="FangSong_GB2312" w:eastAsia="FangSong_GB2312" w:hAnsi="Times New Roman" w:cs="FangSong_GB2312" w:hint="eastAsia"/>
          <w:sz w:val="28"/>
          <w:szCs w:val="28"/>
          <w:lang w:bidi="ar"/>
        </w:rPr>
        <w:t>3、二手房税费计税方法全解</w:t>
      </w:r>
    </w:p>
    <w:p w14:paraId="4323C439" w14:textId="77777777" w:rsidR="00872B13" w:rsidRDefault="00872B13" w:rsidP="00872B13">
      <w:pPr>
        <w:spacing w:line="360" w:lineRule="auto"/>
        <w:ind w:firstLineChars="200" w:firstLine="560"/>
        <w:jc w:val="left"/>
        <w:rPr>
          <w:rFonts w:ascii="FangSong_GB2312" w:eastAsia="FangSong_GB2312" w:cs="FangSong_GB2312"/>
          <w:sz w:val="28"/>
          <w:szCs w:val="28"/>
        </w:rPr>
      </w:pPr>
      <w:r>
        <w:rPr>
          <w:rFonts w:ascii="FangSong_GB2312" w:eastAsia="FangSong_GB2312" w:hAnsi="Times New Roman" w:cs="FangSong_GB2312" w:hint="eastAsia"/>
          <w:sz w:val="28"/>
          <w:szCs w:val="28"/>
          <w:lang w:bidi="ar"/>
        </w:rPr>
        <w:t>4、最新限购政策的解读</w:t>
      </w:r>
    </w:p>
    <w:p w14:paraId="4E2B9998" w14:textId="77777777" w:rsidR="00872B13" w:rsidRDefault="00872B13" w:rsidP="00872B13">
      <w:pPr>
        <w:spacing w:line="360" w:lineRule="auto"/>
        <w:ind w:firstLineChars="200" w:firstLine="560"/>
        <w:jc w:val="left"/>
        <w:rPr>
          <w:rFonts w:ascii="FangSong_GB2312" w:eastAsia="FangSong_GB2312" w:cs="FangSong_GB2312"/>
          <w:sz w:val="28"/>
          <w:szCs w:val="28"/>
        </w:rPr>
      </w:pPr>
      <w:r>
        <w:rPr>
          <w:rFonts w:ascii="FangSong_GB2312" w:eastAsia="FangSong_GB2312" w:hAnsi="Times New Roman" w:cs="FangSong_GB2312" w:hint="eastAsia"/>
          <w:sz w:val="28"/>
          <w:szCs w:val="28"/>
          <w:lang w:bidi="ar"/>
        </w:rPr>
        <w:t>5、房屋交易的全流程</w:t>
      </w:r>
    </w:p>
    <w:p w14:paraId="79B042B8" w14:textId="77777777" w:rsidR="00872B13" w:rsidRDefault="00872B13" w:rsidP="00872B13">
      <w:pPr>
        <w:spacing w:line="360" w:lineRule="auto"/>
        <w:ind w:firstLineChars="200" w:firstLine="560"/>
        <w:jc w:val="left"/>
        <w:rPr>
          <w:rFonts w:ascii="FangSong_GB2312" w:eastAsia="FangSong_GB2312" w:cs="FangSong_GB2312"/>
          <w:sz w:val="28"/>
          <w:szCs w:val="28"/>
        </w:rPr>
      </w:pPr>
      <w:r>
        <w:rPr>
          <w:rFonts w:ascii="FangSong_GB2312" w:eastAsia="FangSong_GB2312" w:hAnsi="Times New Roman" w:cs="FangSong_GB2312" w:hint="eastAsia"/>
          <w:sz w:val="28"/>
          <w:szCs w:val="28"/>
          <w:lang w:bidi="ar"/>
        </w:rPr>
        <w:t>6、按揭业务的全流程</w:t>
      </w:r>
    </w:p>
    <w:p w14:paraId="79FC7943" w14:textId="77777777" w:rsidR="00872B13" w:rsidRDefault="00872B13" w:rsidP="00872B13">
      <w:pPr>
        <w:spacing w:line="360" w:lineRule="auto"/>
        <w:ind w:firstLineChars="200" w:firstLine="560"/>
        <w:jc w:val="left"/>
        <w:rPr>
          <w:rFonts w:ascii="黑体" w:eastAsia="黑体" w:hAnsi="宋体" w:cs="黑体"/>
          <w:b/>
          <w:sz w:val="36"/>
          <w:szCs w:val="36"/>
        </w:rPr>
      </w:pPr>
      <w:r>
        <w:rPr>
          <w:rFonts w:ascii="FangSong_GB2312" w:eastAsia="FangSong_GB2312" w:hAnsi="Times New Roman" w:cs="FangSong_GB2312" w:hint="eastAsia"/>
          <w:sz w:val="28"/>
          <w:szCs w:val="28"/>
          <w:lang w:bidi="ar"/>
        </w:rPr>
        <w:t>7、万</w:t>
      </w:r>
      <w:proofErr w:type="gramStart"/>
      <w:r>
        <w:rPr>
          <w:rFonts w:ascii="FangSong_GB2312" w:eastAsia="FangSong_GB2312" w:hAnsi="Times New Roman" w:cs="FangSong_GB2312" w:hint="eastAsia"/>
          <w:sz w:val="28"/>
          <w:szCs w:val="28"/>
          <w:lang w:bidi="ar"/>
        </w:rPr>
        <w:t>元月供表的</w:t>
      </w:r>
      <w:proofErr w:type="gramEnd"/>
      <w:r>
        <w:rPr>
          <w:rFonts w:ascii="FangSong_GB2312" w:eastAsia="FangSong_GB2312" w:hAnsi="Times New Roman" w:cs="FangSong_GB2312" w:hint="eastAsia"/>
          <w:sz w:val="28"/>
          <w:szCs w:val="28"/>
          <w:lang w:bidi="ar"/>
        </w:rPr>
        <w:t>正确使用方式</w:t>
      </w:r>
      <w:r>
        <w:rPr>
          <w:rFonts w:ascii="黑体" w:eastAsia="黑体" w:hAnsi="宋体" w:cs="黑体" w:hint="eastAsia"/>
          <w:b/>
          <w:sz w:val="36"/>
          <w:szCs w:val="36"/>
          <w:lang w:bidi="ar"/>
        </w:rPr>
        <w:t xml:space="preserve"> </w:t>
      </w:r>
    </w:p>
    <w:p w14:paraId="65C4F93F" w14:textId="77777777" w:rsidR="00872B13" w:rsidRDefault="00872B13" w:rsidP="00872B13">
      <w:pPr>
        <w:spacing w:line="360" w:lineRule="auto"/>
        <w:ind w:firstLineChars="200" w:firstLine="420"/>
        <w:jc w:val="left"/>
        <w:rPr>
          <w:rFonts w:ascii="黑体" w:eastAsia="黑体" w:hAnsi="宋体" w:cs="黑体"/>
          <w:b/>
          <w:sz w:val="36"/>
          <w:szCs w:val="36"/>
        </w:rPr>
      </w:pPr>
      <w:r>
        <w:rPr>
          <w:rFonts w:ascii="Times New Roman" w:eastAsia="宋体" w:hAnsi="Times New Roman" w:cs="Times New Roman"/>
          <w:noProof/>
          <w:lang w:bidi="ar"/>
        </w:rPr>
        <w:drawing>
          <wp:anchor distT="0" distB="0" distL="114300" distR="114300" simplePos="0" relativeHeight="251659264" behindDoc="0" locked="0" layoutInCell="1" allowOverlap="1" wp14:anchorId="1F741440" wp14:editId="4339AD85">
            <wp:simplePos x="0" y="0"/>
            <wp:positionH relativeFrom="margin">
              <wp:posOffset>4749165</wp:posOffset>
            </wp:positionH>
            <wp:positionV relativeFrom="margin">
              <wp:posOffset>4640580</wp:posOffset>
            </wp:positionV>
            <wp:extent cx="1559560" cy="2028825"/>
            <wp:effectExtent l="0" t="0" r="2540" b="9525"/>
            <wp:wrapSquare wrapText="bothSides"/>
            <wp:docPr id="1" name="图片 4" descr="说明: C:\Users\ADMINI~1\AppData\Local\Temp\WeChat Files\83e0ae7ea626b7163de2f2d7bd570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说明: C:\Users\ADMINI~1\AppData\Local\Temp\WeChat Files\83e0ae7ea626b7163de2f2d7bd570a0.jpg"/>
                    <pic:cNvPicPr>
                      <a:picLocks noChangeAspect="1"/>
                    </pic:cNvPicPr>
                  </pic:nvPicPr>
                  <pic:blipFill>
                    <a:blip r:embed="rId7"/>
                    <a:srcRect l="11087" t="12434" r="9016"/>
                    <a:stretch>
                      <a:fillRect/>
                    </a:stretch>
                  </pic:blipFill>
                  <pic:spPr>
                    <a:xfrm>
                      <a:off x="0" y="0"/>
                      <a:ext cx="1559560" cy="2028825"/>
                    </a:xfrm>
                    <a:prstGeom prst="rect">
                      <a:avLst/>
                    </a:prstGeom>
                    <a:noFill/>
                    <a:ln>
                      <a:noFill/>
                    </a:ln>
                  </pic:spPr>
                </pic:pic>
              </a:graphicData>
            </a:graphic>
          </wp:anchor>
        </w:drawing>
      </w:r>
    </w:p>
    <w:p w14:paraId="509AD41B" w14:textId="77777777" w:rsidR="00872B13" w:rsidRDefault="00872B13" w:rsidP="00872B13">
      <w:pPr>
        <w:numPr>
          <w:ilvl w:val="0"/>
          <w:numId w:val="1"/>
        </w:numPr>
        <w:rPr>
          <w:rFonts w:ascii="黑体" w:eastAsia="黑体" w:hAnsi="宋体" w:cs="黑体"/>
          <w:b/>
          <w:sz w:val="32"/>
          <w:szCs w:val="32"/>
        </w:rPr>
      </w:pPr>
      <w:r>
        <w:rPr>
          <w:rFonts w:ascii="黑体" w:eastAsia="黑体" w:hAnsi="宋体" w:cs="黑体" w:hint="eastAsia"/>
          <w:b/>
          <w:sz w:val="32"/>
          <w:szCs w:val="32"/>
          <w:lang w:bidi="ar"/>
        </w:rPr>
        <w:t>讲师：陈妙</w:t>
      </w:r>
      <w:proofErr w:type="gramStart"/>
      <w:r>
        <w:rPr>
          <w:rFonts w:ascii="黑体" w:eastAsia="黑体" w:hAnsi="宋体" w:cs="黑体" w:hint="eastAsia"/>
          <w:b/>
          <w:sz w:val="32"/>
          <w:szCs w:val="32"/>
          <w:lang w:bidi="ar"/>
        </w:rPr>
        <w:t>嫦</w:t>
      </w:r>
      <w:proofErr w:type="gramEnd"/>
    </w:p>
    <w:p w14:paraId="5EC7F110" w14:textId="77777777" w:rsidR="00872B13" w:rsidRDefault="00872B13" w:rsidP="00872B13">
      <w:pPr>
        <w:widowControl/>
        <w:jc w:val="left"/>
        <w:rPr>
          <w:rFonts w:ascii="FangSong_GB2312" w:eastAsia="FangSong_GB2312" w:hAnsi="宋体" w:cs="FangSong_GB2312"/>
          <w:sz w:val="28"/>
          <w:szCs w:val="32"/>
        </w:rPr>
      </w:pPr>
      <w:r>
        <w:rPr>
          <w:rFonts w:ascii="FangSong_GB2312" w:eastAsia="FangSong_GB2312" w:hAnsi="宋体" w:cs="FangSong_GB2312" w:hint="eastAsia"/>
          <w:b/>
          <w:sz w:val="28"/>
          <w:szCs w:val="28"/>
          <w:lang w:bidi="ar"/>
        </w:rPr>
        <w:t>资历：</w:t>
      </w:r>
      <w:proofErr w:type="gramStart"/>
      <w:r>
        <w:rPr>
          <w:rFonts w:ascii="FangSong_GB2312" w:eastAsia="FangSong_GB2312" w:hAnsi="宋体" w:cs="FangSong_GB2312" w:hint="eastAsia"/>
          <w:sz w:val="28"/>
          <w:szCs w:val="28"/>
          <w:lang w:bidi="ar"/>
        </w:rPr>
        <w:t>广州市保益房地产</w:t>
      </w:r>
      <w:proofErr w:type="gramEnd"/>
      <w:r>
        <w:rPr>
          <w:rFonts w:ascii="FangSong_GB2312" w:eastAsia="FangSong_GB2312" w:hAnsi="宋体" w:cs="FangSong_GB2312" w:hint="eastAsia"/>
          <w:sz w:val="28"/>
          <w:szCs w:val="28"/>
          <w:lang w:bidi="ar"/>
        </w:rPr>
        <w:t>按揭代理有限公司市场部区域总监</w:t>
      </w:r>
      <w:r>
        <w:rPr>
          <w:rFonts w:ascii="FangSong_GB2312" w:eastAsia="FangSong_GB2312" w:hAnsi="宋体" w:cs="FangSong_GB2312" w:hint="eastAsia"/>
          <w:sz w:val="28"/>
          <w:szCs w:val="32"/>
          <w:lang w:bidi="ar"/>
        </w:rPr>
        <w:t xml:space="preserve">　</w:t>
      </w:r>
    </w:p>
    <w:p w14:paraId="3777EA2D" w14:textId="77777777" w:rsidR="00872B13" w:rsidRDefault="00872B13" w:rsidP="00872B13">
      <w:pPr>
        <w:widowControl/>
        <w:jc w:val="left"/>
        <w:rPr>
          <w:rFonts w:ascii="FangSong_GB2312" w:eastAsia="FangSong_GB2312" w:hAnsi="宋体" w:cs="FangSong_GB2312"/>
          <w:sz w:val="28"/>
          <w:szCs w:val="28"/>
        </w:rPr>
      </w:pPr>
      <w:r>
        <w:rPr>
          <w:rFonts w:ascii="FangSong_GB2312" w:eastAsia="FangSong_GB2312" w:hAnsi="宋体" w:cs="FangSong_GB2312" w:hint="eastAsia"/>
          <w:b/>
          <w:sz w:val="28"/>
          <w:szCs w:val="32"/>
          <w:lang w:bidi="ar"/>
        </w:rPr>
        <w:t>擅长授课类型：</w:t>
      </w:r>
      <w:r>
        <w:rPr>
          <w:rFonts w:ascii="FangSong_GB2312" w:eastAsia="FangSong_GB2312" w:hAnsi="宋体" w:cs="FangSong_GB2312" w:hint="eastAsia"/>
          <w:sz w:val="28"/>
          <w:szCs w:val="28"/>
          <w:lang w:bidi="ar"/>
        </w:rPr>
        <w:t>《按揭知识》</w:t>
      </w:r>
    </w:p>
    <w:p w14:paraId="0E5F8164" w14:textId="77777777" w:rsidR="00872B13" w:rsidRDefault="00872B13" w:rsidP="00872B13">
      <w:pPr>
        <w:spacing w:line="360" w:lineRule="auto"/>
        <w:jc w:val="left"/>
      </w:pPr>
      <w:r>
        <w:rPr>
          <w:rFonts w:ascii="FangSong_GB2312" w:eastAsia="FangSong_GB2312" w:hAnsi="Times New Roman" w:cs="FangSong_GB2312" w:hint="eastAsia"/>
          <w:b/>
          <w:sz w:val="28"/>
          <w:lang w:bidi="ar"/>
        </w:rPr>
        <w:t>个人介绍：</w:t>
      </w:r>
      <w:r>
        <w:rPr>
          <w:rFonts w:ascii="FangSong_GB2312" w:eastAsia="FangSong_GB2312" w:hAnsi="宋体" w:cs="FangSong_GB2312" w:hint="eastAsia"/>
          <w:sz w:val="28"/>
          <w:szCs w:val="28"/>
          <w:lang w:bidi="ar"/>
        </w:rPr>
        <w:t>从业13年，2006年开始从事房地产按揭工作。</w:t>
      </w:r>
      <w:proofErr w:type="gramStart"/>
      <w:r>
        <w:rPr>
          <w:rFonts w:ascii="FangSong_GB2312" w:eastAsia="FangSong_GB2312" w:hAnsi="宋体" w:cs="FangSong_GB2312" w:hint="eastAsia"/>
          <w:sz w:val="28"/>
          <w:szCs w:val="28"/>
          <w:lang w:bidi="ar"/>
        </w:rPr>
        <w:t>现任保益按揭</w:t>
      </w:r>
      <w:proofErr w:type="gramEnd"/>
      <w:r>
        <w:rPr>
          <w:rFonts w:ascii="FangSong_GB2312" w:eastAsia="FangSong_GB2312" w:hAnsi="宋体" w:cs="FangSong_GB2312" w:hint="eastAsia"/>
          <w:sz w:val="28"/>
          <w:szCs w:val="28"/>
          <w:lang w:bidi="ar"/>
        </w:rPr>
        <w:t>市场部区域总监，公司内部培训讲师。长期专注于广州二手房按揭行业的相关知识培训和市场研究分析。在二手房地产按揭行业拥有相当丰富的实战经验和深厚的行业理论功底。</w:t>
      </w:r>
    </w:p>
    <w:p w14:paraId="00F37FEC" w14:textId="77777777" w:rsidR="00872B13" w:rsidRDefault="00872B13" w:rsidP="00872B13">
      <w:pPr>
        <w:jc w:val="left"/>
        <w:rPr>
          <w:b/>
          <w:color w:val="000000"/>
          <w:sz w:val="28"/>
          <w:szCs w:val="28"/>
        </w:rPr>
      </w:pPr>
    </w:p>
    <w:p w14:paraId="187F22C1" w14:textId="77777777" w:rsidR="00872B13" w:rsidRDefault="00872B13" w:rsidP="00872B13">
      <w:pPr>
        <w:jc w:val="left"/>
        <w:rPr>
          <w:b/>
          <w:color w:val="000000"/>
          <w:sz w:val="28"/>
          <w:szCs w:val="28"/>
        </w:rPr>
      </w:pPr>
    </w:p>
    <w:p w14:paraId="60650B6C" w14:textId="77777777" w:rsidR="00872B13" w:rsidRDefault="00872B13" w:rsidP="00872B13">
      <w:pPr>
        <w:jc w:val="left"/>
        <w:rPr>
          <w:b/>
          <w:color w:val="000000"/>
          <w:sz w:val="28"/>
          <w:szCs w:val="28"/>
        </w:rPr>
      </w:pPr>
    </w:p>
    <w:p w14:paraId="0897D8B7" w14:textId="77777777" w:rsidR="00124E3F" w:rsidRPr="00872B13" w:rsidRDefault="00124E3F">
      <w:bookmarkStart w:id="0" w:name="_GoBack"/>
      <w:bookmarkEnd w:id="0"/>
    </w:p>
    <w:sectPr w:rsidR="00124E3F" w:rsidRPr="00872B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0F248" w14:textId="77777777" w:rsidR="000E795A" w:rsidRDefault="000E795A" w:rsidP="00872B13">
      <w:r>
        <w:separator/>
      </w:r>
    </w:p>
  </w:endnote>
  <w:endnote w:type="continuationSeparator" w:id="0">
    <w:p w14:paraId="1AE52E93" w14:textId="77777777" w:rsidR="000E795A" w:rsidRDefault="000E795A" w:rsidP="0087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auto"/>
    <w:pitch w:val="variable"/>
    <w:sig w:usb0="800002BF" w:usb1="38CF7CFA"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1C7EE" w14:textId="77777777" w:rsidR="000E795A" w:rsidRDefault="000E795A" w:rsidP="00872B13">
      <w:r>
        <w:separator/>
      </w:r>
    </w:p>
  </w:footnote>
  <w:footnote w:type="continuationSeparator" w:id="0">
    <w:p w14:paraId="5AA30D17" w14:textId="77777777" w:rsidR="000E795A" w:rsidRDefault="000E795A" w:rsidP="00872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12BC48"/>
    <w:multiLevelType w:val="multilevel"/>
    <w:tmpl w:val="C812BC48"/>
    <w:lvl w:ilvl="0">
      <w:start w:val="1"/>
      <w:numFmt w:val="bullet"/>
      <w:lvlText w:val=""/>
      <w:lvlJc w:val="left"/>
      <w:pPr>
        <w:ind w:left="420" w:hanging="420"/>
      </w:pPr>
      <w:rPr>
        <w:rFonts w:ascii="Wingdings" w:hAnsi="Wingdings" w:cs="Wingdings" w:hint="default"/>
        <w:sz w:val="36"/>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34"/>
    <w:rsid w:val="000E795A"/>
    <w:rsid w:val="00124E3F"/>
    <w:rsid w:val="00616E34"/>
    <w:rsid w:val="00872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BC550D-85D7-46FF-A204-84E1C8EE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1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B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2B13"/>
    <w:rPr>
      <w:sz w:val="18"/>
      <w:szCs w:val="18"/>
    </w:rPr>
  </w:style>
  <w:style w:type="paragraph" w:styleId="a5">
    <w:name w:val="footer"/>
    <w:basedOn w:val="a"/>
    <w:link w:val="a6"/>
    <w:uiPriority w:val="99"/>
    <w:unhideWhenUsed/>
    <w:rsid w:val="00872B13"/>
    <w:pPr>
      <w:tabs>
        <w:tab w:val="center" w:pos="4153"/>
        <w:tab w:val="right" w:pos="8306"/>
      </w:tabs>
      <w:snapToGrid w:val="0"/>
      <w:jc w:val="left"/>
    </w:pPr>
    <w:rPr>
      <w:sz w:val="18"/>
      <w:szCs w:val="18"/>
    </w:rPr>
  </w:style>
  <w:style w:type="character" w:customStyle="1" w:styleId="a6">
    <w:name w:val="页脚 字符"/>
    <w:basedOn w:val="a0"/>
    <w:link w:val="a5"/>
    <w:uiPriority w:val="99"/>
    <w:rsid w:val="00872B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2019-11-29T08:58:00Z</dcterms:created>
  <dcterms:modified xsi:type="dcterms:W3CDTF">2019-11-29T08:58:00Z</dcterms:modified>
</cp:coreProperties>
</file>