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b/>
          <w:bCs/>
          <w:szCs w:val="28"/>
        </w:rPr>
      </w:pPr>
      <w:r>
        <w:rPr>
          <w:rFonts w:hint="eastAsia" w:ascii="宋体" w:hAnsi="宋体"/>
          <w:b/>
          <w:bCs/>
          <w:szCs w:val="28"/>
        </w:rPr>
        <w:t>附件</w:t>
      </w:r>
    </w:p>
    <w:p>
      <w:pPr>
        <w:jc w:val="center"/>
        <w:rPr>
          <w:rFonts w:ascii="黑体" w:hAnsi="黑体" w:eastAsia="黑体"/>
          <w:b/>
          <w:bCs/>
          <w:sz w:val="44"/>
          <w:szCs w:val="44"/>
        </w:rPr>
      </w:pPr>
      <w:r>
        <w:rPr>
          <w:rFonts w:hint="eastAsia" w:ascii="黑体" w:hAnsi="黑体" w:eastAsia="黑体"/>
          <w:b/>
          <w:bCs/>
          <w:sz w:val="44"/>
          <w:szCs w:val="44"/>
        </w:rPr>
        <w:t>课程简介</w:t>
      </w:r>
    </w:p>
    <w:p>
      <w:pPr>
        <w:jc w:val="center"/>
        <w:rPr>
          <w:rFonts w:ascii="黑体" w:hAnsi="黑体" w:eastAsia="黑体"/>
          <w:b/>
          <w:bCs/>
          <w:sz w:val="44"/>
          <w:szCs w:val="44"/>
        </w:rPr>
      </w:pPr>
      <w:bookmarkStart w:id="0" w:name="_GoBack"/>
      <w:bookmarkEnd w:id="0"/>
    </w:p>
    <w:p>
      <w:pPr>
        <w:jc w:val="center"/>
        <w:rPr>
          <w:rFonts w:ascii="黑体" w:hAnsi="黑体" w:eastAsia="黑体" w:cs="宋体"/>
          <w:b/>
          <w:bCs/>
          <w:kern w:val="0"/>
          <w:sz w:val="32"/>
          <w:szCs w:val="36"/>
        </w:rPr>
      </w:pPr>
      <w:r>
        <w:rPr>
          <w:rFonts w:hint="eastAsia" w:ascii="黑体" w:hAnsi="黑体" w:eastAsia="黑体" w:cs="宋体"/>
          <w:b/>
          <w:bCs/>
          <w:kern w:val="0"/>
          <w:sz w:val="32"/>
          <w:szCs w:val="36"/>
        </w:rPr>
        <w:t>《房地产按揭基础知识》</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黑体" w:hAnsi="黑体" w:eastAsia="黑体" w:cs="宋体"/>
          <w:b/>
          <w:bCs/>
          <w:kern w:val="0"/>
          <w:sz w:val="32"/>
          <w:szCs w:val="36"/>
        </w:rPr>
      </w:pPr>
    </w:p>
    <w:p>
      <w:pPr>
        <w:ind w:firstLine="585"/>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对于房地产经纪人，掌握交易按揭知识是最基本的要求，专业的表现不但能获取客户的认可和信任，还可很好地提高交易服务效率。</w:t>
      </w:r>
    </w:p>
    <w:p>
      <w:pPr>
        <w:ind w:firstLine="585"/>
        <w:jc w:val="left"/>
        <w:rPr>
          <w:rFonts w:hint="eastAsia" w:ascii="FangSong_GB2312" w:eastAsia="FangSong_GB2312"/>
          <w:sz w:val="28"/>
          <w:szCs w:val="28"/>
        </w:rPr>
      </w:pPr>
      <w:r>
        <w:rPr>
          <w:rFonts w:hint="eastAsia" w:ascii="FangSong_GB2312" w:hAnsi="宋体" w:eastAsia="FangSong_GB2312"/>
          <w:sz w:val="28"/>
          <w:szCs w:val="28"/>
          <w:lang w:bidi="ar"/>
        </w:rPr>
        <w:t>本次课程帮助广大中介同行掌握交易按揭专业知识，为客户提供更多优质的咨询服务。</w:t>
      </w:r>
    </w:p>
    <w:p>
      <w:pPr>
        <w:jc w:val="center"/>
      </w:pPr>
      <w:r>
        <w:drawing>
          <wp:inline distT="0" distB="0" distL="114300" distR="114300">
            <wp:extent cx="4543425" cy="16954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543425" cy="1695450"/>
                    </a:xfrm>
                    <a:prstGeom prst="rect">
                      <a:avLst/>
                    </a:prstGeom>
                    <a:noFill/>
                    <a:ln>
                      <a:noFill/>
                    </a:ln>
                  </pic:spPr>
                </pic:pic>
              </a:graphicData>
            </a:graphic>
          </wp:inline>
        </w:drawing>
      </w:r>
    </w:p>
    <w:p>
      <w:pPr>
        <w:ind w:firstLine="562" w:firstLineChars="200"/>
        <w:jc w:val="left"/>
        <w:rPr>
          <w:rFonts w:ascii="FangSong_GB2312" w:hAnsi="宋体" w:eastAsia="FangSong_GB2312"/>
          <w:sz w:val="28"/>
          <w:szCs w:val="28"/>
          <w:lang w:bidi="ar"/>
        </w:rPr>
      </w:pPr>
      <w:r>
        <w:rPr>
          <w:rFonts w:hint="eastAsia" w:ascii="FangSong_GB2312" w:hAnsi="宋体" w:eastAsia="FangSong_GB2312"/>
          <w:b/>
          <w:sz w:val="28"/>
          <w:szCs w:val="28"/>
          <w:lang w:bidi="ar"/>
        </w:rPr>
        <w:t>讲师</w:t>
      </w:r>
      <w:r>
        <w:rPr>
          <w:rFonts w:ascii="FangSong_GB2312" w:hAnsi="宋体" w:eastAsia="FangSong_GB2312"/>
          <w:b/>
          <w:sz w:val="28"/>
          <w:szCs w:val="28"/>
          <w:lang w:bidi="ar"/>
        </w:rPr>
        <w:t>：</w:t>
      </w:r>
      <w:r>
        <w:rPr>
          <w:rFonts w:hint="eastAsia" w:ascii="FangSong_GB2312" w:hAnsi="宋体" w:eastAsia="FangSong_GB2312"/>
          <w:sz w:val="28"/>
          <w:szCs w:val="28"/>
          <w:lang w:bidi="ar"/>
        </w:rPr>
        <w:t>贺伟</w:t>
      </w:r>
    </w:p>
    <w:p>
      <w:pPr>
        <w:ind w:firstLine="562" w:firstLineChars="200"/>
        <w:jc w:val="left"/>
        <w:rPr>
          <w:rFonts w:ascii="FangSong_GB2312" w:hAnsi="宋体" w:eastAsia="FangSong_GB2312"/>
          <w:b/>
          <w:sz w:val="28"/>
          <w:szCs w:val="28"/>
          <w:lang w:bidi="ar"/>
        </w:rPr>
      </w:pPr>
      <w:r>
        <w:rPr>
          <w:rFonts w:hint="eastAsia" w:ascii="FangSong_GB2312" w:hAnsi="宋体" w:eastAsia="FangSong_GB2312"/>
          <w:b/>
          <w:sz w:val="28"/>
          <w:szCs w:val="28"/>
          <w:lang w:bidi="ar"/>
        </w:rPr>
        <w:t>背景</w:t>
      </w:r>
      <w:r>
        <w:rPr>
          <w:rFonts w:ascii="FangSong_GB2312" w:hAnsi="宋体" w:eastAsia="FangSong_GB2312"/>
          <w:b/>
          <w:sz w:val="28"/>
          <w:szCs w:val="28"/>
          <w:lang w:bidi="ar"/>
        </w:rPr>
        <w:t>：</w:t>
      </w:r>
      <w:r>
        <w:rPr>
          <w:rFonts w:hint="eastAsia" w:ascii="FangSong_GB2312" w:hAnsi="宋体" w:eastAsia="FangSong_GB2312"/>
          <w:sz w:val="28"/>
          <w:szCs w:val="28"/>
          <w:lang w:bidi="ar"/>
        </w:rPr>
        <w:t>广州汇和按揭代理有限公司培训导师</w:t>
      </w:r>
    </w:p>
    <w:p>
      <w:pPr>
        <w:ind w:firstLine="562" w:firstLineChars="200"/>
        <w:jc w:val="left"/>
        <w:rPr>
          <w:rFonts w:ascii="FangSong_GB2312" w:hAnsi="宋体" w:eastAsia="FangSong_GB2312"/>
          <w:sz w:val="28"/>
          <w:szCs w:val="28"/>
          <w:lang w:bidi="ar"/>
        </w:rPr>
      </w:pPr>
      <w:r>
        <w:rPr>
          <w:rFonts w:hint="eastAsia" w:ascii="FangSong_GB2312" w:hAnsi="宋体" w:eastAsia="FangSong_GB2312"/>
          <w:b/>
          <w:sz w:val="28"/>
          <w:szCs w:val="28"/>
          <w:lang w:bidi="ar"/>
        </w:rPr>
        <w:t>简介</w:t>
      </w:r>
      <w:r>
        <w:rPr>
          <w:rFonts w:ascii="FangSong_GB2312" w:hAnsi="宋体" w:eastAsia="FangSong_GB2312"/>
          <w:b/>
          <w:sz w:val="28"/>
          <w:szCs w:val="28"/>
          <w:lang w:bidi="ar"/>
        </w:rPr>
        <w:t>：</w:t>
      </w:r>
      <w:r>
        <w:rPr>
          <w:rFonts w:hint="eastAsia" w:ascii="FangSong_GB2312" w:hAnsi="宋体" w:eastAsia="FangSong_GB2312"/>
          <w:sz w:val="28"/>
          <w:szCs w:val="28"/>
          <w:lang w:bidi="ar"/>
        </w:rPr>
        <w:t>从业金融行业十多年，按揭服务行业六年，长期关注国内经济形势走向和政策面的解读，重点关注房地产行业的金融服务产品以及银行政策的变化，用个人亲身经历长期教导公司员工如何面对市场渠道开发，另外和各大型地产中介强强联手，打造服务员工体系，阐述热点产品，协助中介人员快速营销成功。</w:t>
      </w:r>
    </w:p>
    <w:p>
      <w:pPr>
        <w:ind w:firstLine="643" w:firstLineChars="200"/>
        <w:jc w:val="center"/>
        <w:rPr>
          <w:rFonts w:ascii="黑体" w:hAnsi="黑体" w:eastAsia="黑体" w:cs="宋体"/>
          <w:b/>
          <w:bCs/>
          <w:kern w:val="0"/>
          <w:sz w:val="32"/>
          <w:szCs w:val="36"/>
        </w:rPr>
      </w:pPr>
    </w:p>
    <w:p>
      <w:pPr>
        <w:ind w:firstLine="643" w:firstLineChars="200"/>
        <w:jc w:val="center"/>
        <w:rPr>
          <w:rFonts w:ascii="黑体" w:hAnsi="黑体" w:eastAsia="黑体" w:cs="宋体"/>
          <w:b/>
          <w:bCs/>
          <w:kern w:val="0"/>
          <w:sz w:val="32"/>
          <w:szCs w:val="36"/>
        </w:rPr>
      </w:pPr>
      <w:r>
        <w:rPr>
          <w:rFonts w:hint="eastAsia" w:ascii="黑体" w:hAnsi="黑体" w:eastAsia="黑体" w:cs="宋体"/>
          <w:b/>
          <w:bCs/>
          <w:kern w:val="0"/>
          <w:sz w:val="32"/>
          <w:szCs w:val="36"/>
        </w:rPr>
        <w:t>《看案例 学法规 (</w:t>
      </w:r>
      <w:r>
        <w:rPr>
          <w:rFonts w:ascii="黑体" w:hAnsi="黑体" w:eastAsia="黑体" w:cs="宋体"/>
          <w:b/>
          <w:bCs/>
          <w:kern w:val="0"/>
          <w:sz w:val="32"/>
          <w:szCs w:val="36"/>
        </w:rPr>
        <w:t>2022</w:t>
      </w:r>
      <w:r>
        <w:rPr>
          <w:rFonts w:hint="eastAsia" w:ascii="黑体" w:hAnsi="黑体" w:eastAsia="黑体" w:cs="宋体"/>
          <w:b/>
          <w:bCs/>
          <w:kern w:val="0"/>
          <w:sz w:val="32"/>
          <w:szCs w:val="36"/>
        </w:rPr>
        <w:t>年第6期)——房屋继承》</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(视频课程)</w:t>
      </w:r>
    </w:p>
    <w:p>
      <w:pPr>
        <w:jc w:val="center"/>
        <w:rPr>
          <w:rFonts w:ascii="黑体" w:hAnsi="黑体" w:eastAsia="黑体" w:cs="宋体"/>
          <w:b/>
          <w:bCs/>
          <w:kern w:val="0"/>
          <w:sz w:val="32"/>
          <w:szCs w:val="36"/>
        </w:rPr>
      </w:pPr>
    </w:p>
    <w:p>
      <w:pPr>
        <w:spacing w:line="560" w:lineRule="exact"/>
        <w:ind w:firstLine="560" w:firstLineChars="200"/>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《看案例 学法规》系列课程，是以消费者向广州市房地产中介协会反映房地产中介在提供中介服务过程中存在违法违规行为的投诉案件为原型，改编为课程案例。</w:t>
      </w:r>
    </w:p>
    <w:p>
      <w:pPr>
        <w:spacing w:line="560" w:lineRule="exact"/>
        <w:ind w:firstLine="560" w:firstLineChars="200"/>
        <w:jc w:val="left"/>
        <w:rPr>
          <w:rFonts w:hint="eastAsia" w:ascii="FangSong_GB2312" w:hAnsi="宋体" w:eastAsia="FangSong_GB2312"/>
          <w:sz w:val="28"/>
          <w:szCs w:val="28"/>
          <w:lang w:bidi="ar"/>
        </w:rPr>
      </w:pPr>
      <w:r>
        <w:rPr>
          <w:rFonts w:hint="eastAsia" w:ascii="FangSong_GB2312" w:hAnsi="宋体" w:eastAsia="FangSong_GB2312"/>
          <w:sz w:val="28"/>
          <w:szCs w:val="28"/>
          <w:lang w:bidi="ar"/>
        </w:rPr>
        <w:t>通过案例分析，解读相关政策法规，以期广大会员同行在为消费者提供中介服务时，诚信执业、规范操作，避免不必要的交易纠纷和行政处罚风险。</w:t>
      </w:r>
    </w:p>
    <w:p>
      <w:pPr>
        <w:jc w:val="center"/>
        <w:rPr>
          <w:rFonts w:hint="eastAsia" w:ascii="FangSong_GB2312" w:eastAsia="FangSong_GB2312"/>
          <w:sz w:val="28"/>
          <w:szCs w:val="28"/>
        </w:rPr>
      </w:pPr>
      <w:r>
        <w:rPr>
          <w:rFonts w:hint="eastAsia" w:ascii="FangSong_GB2312" w:eastAsia="FangSong_GB2312"/>
          <w:sz w:val="28"/>
          <w:szCs w:val="28"/>
        </w:rPr>
        <w:drawing>
          <wp:inline distT="0" distB="0" distL="114300" distR="114300">
            <wp:extent cx="4543425" cy="169545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4543425" cy="1695450"/>
                    </a:xfrm>
                    <a:prstGeom prst="rect">
                      <a:avLst/>
                    </a:prstGeom>
                    <a:noFill/>
                    <a:ln>
                      <a:noFill/>
                    </a:ln>
                  </pic:spPr>
                </pic:pic>
              </a:graphicData>
            </a:graphic>
          </wp:inline>
        </w:drawing>
      </w:r>
      <w:r>
        <w:rPr>
          <w:rFonts w:hint="eastAsia" w:ascii="FangSong_GB2312" w:eastAsia="FangSong_GB2312"/>
          <w:sz w:val="28"/>
          <w:szCs w:val="28"/>
        </w:rPr>
        <w:t xml:space="preserve"> </w:t>
      </w:r>
    </w:p>
    <w:p>
      <w:pPr>
        <w:ind w:firstLine="562" w:firstLineChars="200"/>
        <w:jc w:val="left"/>
        <w:rPr>
          <w:rFonts w:hint="eastAsia" w:ascii="FangSong_GB2312" w:hAnsi="宋体" w:eastAsia="FangSong_GB2312"/>
          <w:sz w:val="28"/>
          <w:szCs w:val="28"/>
          <w:lang w:bidi="ar"/>
        </w:rPr>
      </w:pPr>
      <w:r>
        <w:rPr>
          <w:rFonts w:hint="eastAsia" w:ascii="FangSong_GB2312" w:hAnsi="宋体" w:eastAsia="FangSong_GB2312"/>
          <w:b/>
          <w:sz w:val="28"/>
          <w:szCs w:val="28"/>
          <w:lang w:bidi="ar"/>
        </w:rPr>
        <w:t>讲师：</w:t>
      </w:r>
      <w:r>
        <w:rPr>
          <w:rFonts w:hint="eastAsia" w:ascii="FangSong_GB2312" w:hAnsi="宋体" w:eastAsia="FangSong_GB2312"/>
          <w:sz w:val="28"/>
          <w:szCs w:val="28"/>
          <w:lang w:bidi="ar"/>
        </w:rPr>
        <w:t>林嘉敏</w:t>
      </w:r>
    </w:p>
    <w:p>
      <w:pPr>
        <w:ind w:firstLine="562" w:firstLineChars="200"/>
        <w:jc w:val="left"/>
        <w:rPr>
          <w:rFonts w:hint="eastAsia" w:ascii="FangSong_GB2312" w:hAnsi="宋体" w:eastAsia="FangSong_GB2312"/>
          <w:sz w:val="28"/>
          <w:szCs w:val="28"/>
          <w:lang w:bidi="ar"/>
        </w:rPr>
      </w:pPr>
      <w:r>
        <w:rPr>
          <w:rFonts w:hint="eastAsia" w:ascii="FangSong_GB2312" w:hAnsi="宋体" w:eastAsia="FangSong_GB2312"/>
          <w:b/>
          <w:sz w:val="28"/>
          <w:szCs w:val="28"/>
          <w:lang w:bidi="ar"/>
        </w:rPr>
        <w:t>背景：</w:t>
      </w:r>
      <w:r>
        <w:rPr>
          <w:rFonts w:hint="eastAsia" w:ascii="FangSong_GB2312" w:hAnsi="宋体" w:eastAsia="FangSong_GB2312"/>
          <w:sz w:val="28"/>
          <w:szCs w:val="28"/>
          <w:lang w:bidi="ar"/>
        </w:rPr>
        <w:t>广州市房地产中介协会法务专员</w:t>
      </w:r>
    </w:p>
    <w:p>
      <w:pPr>
        <w:ind w:firstLine="562" w:firstLineChars="200"/>
        <w:jc w:val="left"/>
        <w:rPr>
          <w:rFonts w:hint="eastAsia" w:ascii="FangSong_GB2312" w:hAnsi="宋体" w:eastAsia="FangSong_GB2312"/>
          <w:sz w:val="28"/>
          <w:szCs w:val="28"/>
          <w:lang w:bidi="ar"/>
        </w:rPr>
      </w:pPr>
      <w:r>
        <w:rPr>
          <w:rFonts w:hint="eastAsia" w:ascii="FangSong_GB2312" w:hAnsi="宋体" w:eastAsia="FangSong_GB2312"/>
          <w:b/>
          <w:sz w:val="28"/>
          <w:szCs w:val="28"/>
          <w:lang w:bidi="ar"/>
        </w:rPr>
        <w:t>简介：</w:t>
      </w:r>
      <w:r>
        <w:rPr>
          <w:rFonts w:hint="eastAsia" w:ascii="FangSong_GB2312" w:hAnsi="宋体" w:eastAsia="FangSong_GB2312"/>
          <w:sz w:val="28"/>
          <w:szCs w:val="28"/>
          <w:lang w:bidi="ar"/>
        </w:rPr>
        <w:t>现任职广州市房地产中介协会法务组，处理二手房交易纠纷投诉业务，熟悉房地产交易流程及房地产相关法律法规；在协会任职期间，组织调解工作，接待来访市民咨询投诉，解答关于二手房交易的相关问题，能够热情耐心地解答群众问题，高效率、高质量完成经办的案件。</w:t>
      </w:r>
    </w:p>
    <w:p>
      <w:pPr>
        <w:jc w:val="center"/>
        <w:rPr>
          <w:rFonts w:hAnsi="宋体"/>
          <w:lang w:bidi="ar"/>
        </w:rPr>
      </w:pPr>
      <w:r>
        <w:rPr>
          <w:lang w:bidi="ar"/>
        </w:rPr>
        <w:br w:type="page"/>
      </w:r>
      <w:r>
        <w:rPr>
          <w:rFonts w:hint="eastAsia" w:ascii="黑体" w:hAnsi="黑体" w:eastAsia="黑体" w:cs="宋体"/>
          <w:b/>
          <w:bCs/>
          <w:kern w:val="0"/>
          <w:sz w:val="32"/>
          <w:szCs w:val="36"/>
        </w:rPr>
        <w:t>《民法典合同编之合同的订立》</w:t>
      </w:r>
    </w:p>
    <w:p>
      <w:pPr>
        <w:jc w:val="center"/>
        <w:rPr>
          <w:rFonts w:ascii="黑体" w:hAnsi="黑体" w:eastAsia="黑体" w:cs="宋体"/>
          <w:b/>
          <w:bCs/>
          <w:kern w:val="0"/>
          <w:sz w:val="32"/>
          <w:szCs w:val="36"/>
        </w:rPr>
      </w:pPr>
      <w:r>
        <w:rPr>
          <w:rFonts w:hint="eastAsia" w:ascii="黑体" w:hAnsi="黑体" w:eastAsia="黑体" w:cs="宋体"/>
          <w:b/>
          <w:bCs/>
          <w:kern w:val="0"/>
          <w:sz w:val="32"/>
          <w:szCs w:val="36"/>
        </w:rPr>
        <w:t>(电子书课程)</w:t>
      </w:r>
    </w:p>
    <w:p>
      <w:pPr>
        <w:jc w:val="left"/>
        <w:rPr>
          <w:rFonts w:ascii="黑体" w:hAnsi="黑体" w:eastAsia="黑体" w:cs="宋体"/>
          <w:b/>
          <w:bCs/>
          <w:kern w:val="0"/>
          <w:sz w:val="32"/>
          <w:szCs w:val="36"/>
        </w:rPr>
      </w:pPr>
    </w:p>
    <w:p>
      <w:pPr>
        <w:spacing w:line="360" w:lineRule="auto"/>
        <w:ind w:firstLine="495"/>
        <w:jc w:val="left"/>
        <w:rPr>
          <w:rFonts w:ascii="FangSong_GB2312" w:eastAsia="FangSong_GB2312"/>
          <w:sz w:val="28"/>
          <w:szCs w:val="28"/>
        </w:rPr>
      </w:pPr>
      <w:r>
        <w:rPr>
          <w:rFonts w:hint="eastAsia" w:ascii="FangSong_GB2312" w:eastAsia="FangSong_GB2312"/>
          <w:sz w:val="28"/>
          <w:szCs w:val="28"/>
        </w:rPr>
        <w:t>民法典对合同订立的规定是什么？</w:t>
      </w:r>
    </w:p>
    <w:p>
      <w:pPr>
        <w:spacing w:line="360" w:lineRule="auto"/>
        <w:ind w:firstLine="495"/>
        <w:jc w:val="left"/>
        <w:rPr>
          <w:rFonts w:ascii="FangSong_GB2312" w:eastAsia="FangSong_GB2312"/>
          <w:sz w:val="28"/>
          <w:szCs w:val="28"/>
        </w:rPr>
      </w:pPr>
      <w:r>
        <w:rPr>
          <w:rFonts w:hint="eastAsia" w:ascii="FangSong_GB2312" w:eastAsia="FangSong_GB2312"/>
          <w:sz w:val="28"/>
          <w:szCs w:val="28"/>
        </w:rPr>
        <w:t>订立合同过程中的保密义务有哪些？</w:t>
      </w:r>
    </w:p>
    <w:p>
      <w:pPr>
        <w:spacing w:line="360" w:lineRule="auto"/>
        <w:ind w:firstLine="495"/>
        <w:jc w:val="left"/>
        <w:rPr>
          <w:rFonts w:hint="eastAsia" w:ascii="FangSong_GB2312" w:eastAsia="FangSong_GB2312"/>
          <w:sz w:val="28"/>
          <w:szCs w:val="28"/>
        </w:rPr>
      </w:pPr>
      <w:r>
        <w:rPr>
          <w:rFonts w:hint="eastAsia" w:ascii="FangSong_GB2312" w:eastAsia="FangSong_GB2312"/>
          <w:sz w:val="28"/>
          <w:szCs w:val="28"/>
        </w:rPr>
        <w:t>本次课程帮助广大中介同行了解合同订立中的相关事项，避免将来产生纠纷。</w:t>
      </w:r>
    </w:p>
    <w:p>
      <w:pPr>
        <w:spacing w:line="360" w:lineRule="auto"/>
        <w:jc w:val="center"/>
      </w:pPr>
      <w:r>
        <w:drawing>
          <wp:inline distT="0" distB="0" distL="114300" distR="114300">
            <wp:extent cx="4533900" cy="16954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4533900" cy="1695450"/>
                    </a:xfrm>
                    <a:prstGeom prst="rect">
                      <a:avLst/>
                    </a:prstGeom>
                    <a:noFill/>
                    <a:ln>
                      <a:noFill/>
                    </a:ln>
                  </pic:spPr>
                </pic:pic>
              </a:graphicData>
            </a:graphic>
          </wp:inline>
        </w:drawing>
      </w:r>
    </w:p>
    <w:p>
      <w:pPr>
        <w:spacing w:line="360" w:lineRule="auto"/>
        <w:jc w:val="center"/>
      </w:pPr>
    </w:p>
    <w:p>
      <w:pPr>
        <w:rPr>
          <w:rFonts w:hint="eastAsia"/>
        </w:rPr>
      </w:pPr>
    </w:p>
    <w:p/>
    <w:sectPr>
      <w:headerReference r:id="rId4" w:type="first"/>
      <w:footerReference r:id="rId7" w:type="first"/>
      <w:headerReference r:id="rId3" w:type="default"/>
      <w:footerReference r:id="rId5" w:type="default"/>
      <w:footerReference r:id="rId6" w:type="even"/>
      <w:pgSz w:w="11906" w:h="16838"/>
      <w:pgMar w:top="1418" w:right="1134" w:bottom="1418"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Style w:val="6"/>
      </w:rPr>
      <w:fldChar w:fldCharType="begin"/>
    </w:r>
    <w:r>
      <w:rPr>
        <w:rStyle w:val="6"/>
      </w:rPr>
      <w:instrText xml:space="preserve"> PAGE </w:instrText>
    </w:r>
    <w:r>
      <w:rPr>
        <w:rStyle w:val="6"/>
      </w:rPr>
      <w:fldChar w:fldCharType="separate"/>
    </w:r>
    <w:r>
      <w:rPr>
        <w:rStyle w:val="6"/>
      </w:rPr>
      <w:t>1</w:t>
    </w:r>
    <w:r>
      <w:rPr>
        <w:rStyle w:val="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p>
    <w:pPr>
      <w:pStyle w:val="3"/>
      <w:pBdr>
        <w:bottom w:val="none" w:color="auto" w:sz="0" w:space="0"/>
      </w:pBdr>
      <w:ind w:right="180"/>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WMzNmU4NDA5YWYyZTRlM2Y4MjgxNGU3MjY4NDkifQ=="/>
  </w:docVars>
  <w:rsids>
    <w:rsidRoot w:val="181631E9"/>
    <w:rsid w:val="1816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2022-06-30T10:38:00Z</dcterms:created>
  <dc:creator>garea</dc:creator>
  <cp:lastModifiedBy>garea</cp:lastModifiedBy>
  <dcterms:modified xsi:type="dcterms:W3CDTF">2022-06-30T10:38:39Z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D873E6CDEF3E4DB7894CD4F0D0FB9552</vt:lpwstr>
  </property>
</Properties>
</file>