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FangSong_GB2312" w:hAnsi="宋体" w:eastAsia="FangSong_GB2312"/>
          <w:b/>
          <w:bCs/>
          <w:sz w:val="28"/>
          <w:szCs w:val="28"/>
        </w:rPr>
      </w:pPr>
      <w:bookmarkStart w:id="0" w:name="_GoBack"/>
      <w:r>
        <w:rPr>
          <w:rFonts w:hint="eastAsia" w:ascii="FangSong_GB2312" w:hAnsi="宋体" w:eastAsia="FangSong_GB2312"/>
          <w:b/>
          <w:bCs/>
          <w:sz w:val="28"/>
          <w:szCs w:val="28"/>
        </w:rPr>
        <w:t>附件</w:t>
      </w:r>
    </w:p>
    <w:p>
      <w:pPr>
        <w:jc w:val="center"/>
        <w:rPr>
          <w:rFonts w:ascii="黑体" w:hAnsi="黑体" w:eastAsia="黑体"/>
          <w:b/>
          <w:bCs/>
          <w:sz w:val="44"/>
          <w:szCs w:val="44"/>
        </w:rPr>
      </w:pPr>
      <w:r>
        <w:rPr>
          <w:rFonts w:hint="eastAsia" w:ascii="黑体" w:hAnsi="黑体" w:eastAsia="黑体"/>
          <w:b/>
          <w:bCs/>
          <w:sz w:val="44"/>
          <w:szCs w:val="44"/>
        </w:rPr>
        <w:t>课程简介</w:t>
      </w:r>
      <w:bookmarkEnd w:id="0"/>
    </w:p>
    <w:p>
      <w:pPr>
        <w:jc w:val="center"/>
      </w:pPr>
      <w:r>
        <w:rPr>
          <w:rFonts w:hint="eastAsia" w:ascii="黑体" w:hAnsi="黑体" w:eastAsia="黑体" w:cs="宋体"/>
          <w:b/>
          <w:bCs/>
          <w:kern w:val="0"/>
          <w:sz w:val="32"/>
          <w:szCs w:val="36"/>
        </w:rPr>
        <w:t>《看案例 学法规 (</w:t>
      </w:r>
      <w:r>
        <w:rPr>
          <w:rFonts w:ascii="黑体" w:hAnsi="黑体" w:eastAsia="黑体" w:cs="宋体"/>
          <w:b/>
          <w:bCs/>
          <w:kern w:val="0"/>
          <w:sz w:val="32"/>
          <w:szCs w:val="36"/>
        </w:rPr>
        <w:t>2022</w:t>
      </w:r>
      <w:r>
        <w:rPr>
          <w:rFonts w:hint="eastAsia" w:ascii="黑体" w:hAnsi="黑体" w:eastAsia="黑体" w:cs="宋体"/>
          <w:b/>
          <w:bCs/>
          <w:kern w:val="0"/>
          <w:sz w:val="32"/>
          <w:szCs w:val="36"/>
        </w:rPr>
        <w:t>年第</w:t>
      </w:r>
      <w:r>
        <w:rPr>
          <w:rFonts w:ascii="黑体" w:hAnsi="黑体" w:eastAsia="黑体" w:cs="宋体"/>
          <w:b/>
          <w:bCs/>
          <w:kern w:val="0"/>
          <w:sz w:val="32"/>
          <w:szCs w:val="36"/>
        </w:rPr>
        <w:t>10</w:t>
      </w:r>
      <w:r>
        <w:rPr>
          <w:rFonts w:hint="eastAsia" w:ascii="黑体" w:hAnsi="黑体" w:eastAsia="黑体" w:cs="宋体"/>
          <w:b/>
          <w:bCs/>
          <w:kern w:val="0"/>
          <w:sz w:val="32"/>
          <w:szCs w:val="36"/>
        </w:rPr>
        <w:t>期)——房屋租赁》</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黑体" w:hAnsi="黑体" w:eastAsia="黑体" w:cs="宋体"/>
          <w:b/>
          <w:bCs/>
          <w:kern w:val="0"/>
          <w:sz w:val="32"/>
          <w:szCs w:val="36"/>
        </w:rPr>
      </w:pPr>
    </w:p>
    <w:p>
      <w:pPr>
        <w:spacing w:line="560" w:lineRule="exact"/>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《看案例 学法规》系列课程，是以消费者向广州市房地产中介协会反映房地产中介在提供中介服务过程中存在违法违规行为的投诉案件为原型，改编为课程案例。</w:t>
      </w:r>
    </w:p>
    <w:p>
      <w:pPr>
        <w:spacing w:line="560" w:lineRule="exact"/>
        <w:ind w:firstLine="560" w:firstLineChars="200"/>
        <w:jc w:val="left"/>
        <w:rPr>
          <w:rFonts w:hint="eastAsia" w:ascii="FangSong_GB2312" w:hAnsi="宋体" w:eastAsia="FangSong_GB2312"/>
          <w:sz w:val="28"/>
          <w:szCs w:val="28"/>
          <w:lang w:bidi="ar"/>
        </w:rPr>
      </w:pPr>
      <w:r>
        <w:rPr>
          <w:rFonts w:hint="eastAsia" w:ascii="FangSong_GB2312" w:hAnsi="宋体" w:eastAsia="FangSong_GB2312"/>
          <w:sz w:val="28"/>
          <w:szCs w:val="28"/>
          <w:lang w:bidi="ar"/>
        </w:rPr>
        <w:t>通过案例分析，解读相关政策法规，以期广大会员同行在为消费者提供中介服务时，诚信执业、规范操作，避免不必要的交易纠纷和行政处罚风险。</w:t>
      </w:r>
    </w:p>
    <w:p>
      <w:pPr>
        <w:jc w:val="center"/>
        <w:rPr>
          <w:rFonts w:hint="eastAsia" w:ascii="FangSong_GB2312" w:eastAsia="FangSong_GB2312"/>
          <w:sz w:val="28"/>
          <w:szCs w:val="28"/>
        </w:rPr>
      </w:pPr>
      <w:r>
        <w:drawing>
          <wp:inline distT="0" distB="0" distL="114300" distR="114300">
            <wp:extent cx="4562475" cy="16859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562475" cy="1685925"/>
                    </a:xfrm>
                    <a:prstGeom prst="rect">
                      <a:avLst/>
                    </a:prstGeom>
                    <a:noFill/>
                    <a:ln>
                      <a:noFill/>
                    </a:ln>
                  </pic:spPr>
                </pic:pic>
              </a:graphicData>
            </a:graphic>
          </wp:inline>
        </w:drawing>
      </w:r>
      <w:r>
        <w:rPr>
          <w:rFonts w:hint="eastAsia" w:ascii="FangSong_GB2312" w:eastAsia="FangSong_GB2312"/>
          <w:sz w:val="28"/>
          <w:szCs w:val="28"/>
        </w:rPr>
        <w:t xml:space="preserve"> </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讲师：</w:t>
      </w:r>
      <w:r>
        <w:rPr>
          <w:rFonts w:hint="eastAsia" w:ascii="FangSong_GB2312" w:hAnsi="宋体" w:eastAsia="FangSong_GB2312"/>
          <w:sz w:val="28"/>
          <w:szCs w:val="28"/>
          <w:lang w:bidi="ar"/>
        </w:rPr>
        <w:t>王俊轩</w:t>
      </w:r>
    </w:p>
    <w:p>
      <w:pPr>
        <w:ind w:firstLine="562" w:firstLineChars="200"/>
        <w:jc w:val="left"/>
        <w:rPr>
          <w:rFonts w:hint="eastAsia" w:ascii="FangSong_GB2312" w:hAnsi="宋体" w:eastAsia="FangSong_GB2312"/>
          <w:sz w:val="28"/>
          <w:szCs w:val="28"/>
          <w:lang w:bidi="ar"/>
        </w:rPr>
      </w:pPr>
      <w:r>
        <w:rPr>
          <w:rFonts w:hint="eastAsia" w:ascii="FangSong_GB2312" w:hAnsi="宋体" w:eastAsia="FangSong_GB2312"/>
          <w:b/>
          <w:sz w:val="28"/>
          <w:szCs w:val="28"/>
          <w:lang w:bidi="ar"/>
        </w:rPr>
        <w:t>背景：</w:t>
      </w:r>
      <w:r>
        <w:rPr>
          <w:rFonts w:hint="eastAsia" w:ascii="FangSong_GB2312" w:hAnsi="宋体" w:eastAsia="FangSong_GB2312"/>
          <w:sz w:val="28"/>
          <w:szCs w:val="28"/>
          <w:lang w:bidi="ar"/>
        </w:rPr>
        <w:t>广州市房地产中介协会行业发展与服务部副部长</w:t>
      </w:r>
    </w:p>
    <w:p>
      <w:pPr>
        <w:ind w:firstLine="562" w:firstLineChars="200"/>
        <w:jc w:val="left"/>
        <w:rPr>
          <w:rFonts w:ascii="FangSong_GB2312" w:hAnsi="宋体" w:eastAsia="FangSong_GB2312"/>
          <w:sz w:val="28"/>
          <w:szCs w:val="28"/>
          <w:lang w:bidi="ar"/>
        </w:rPr>
      </w:pPr>
      <w:r>
        <w:rPr>
          <w:rFonts w:hint="eastAsia" w:ascii="FangSong_GB2312" w:hAnsi="宋体" w:eastAsia="FangSong_GB2312"/>
          <w:b/>
          <w:sz w:val="28"/>
          <w:szCs w:val="28"/>
          <w:lang w:bidi="ar"/>
        </w:rPr>
        <w:t>简介：</w:t>
      </w:r>
      <w:r>
        <w:rPr>
          <w:rFonts w:hint="eastAsia" w:ascii="FangSong_GB2312" w:hAnsi="宋体" w:eastAsia="FangSong_GB2312"/>
          <w:sz w:val="28"/>
          <w:szCs w:val="28"/>
          <w:lang w:bidi="ar"/>
        </w:rPr>
        <w:t>现任职于广州市房地产中介协会，负责协会法人治理、政策法规宣传、房屋交易纠纷协调、二手房案例分析发布等工作，熟悉房地产交易流程及房地产相关法律法规，为会员单位提供专业法律咨询。</w:t>
      </w:r>
    </w:p>
    <w:p>
      <w:pPr>
        <w:tabs>
          <w:tab w:val="left" w:pos="1020"/>
        </w:tabs>
        <w:spacing w:line="276" w:lineRule="auto"/>
        <w:ind w:firstLine="422" w:firstLineChars="200"/>
        <w:jc w:val="left"/>
        <w:rPr>
          <w:rFonts w:hAnsi="宋体"/>
          <w:b/>
          <w:lang w:bidi="ar"/>
        </w:rPr>
      </w:pPr>
    </w:p>
    <w:p>
      <w:pPr>
        <w:widowControl/>
        <w:jc w:val="left"/>
        <w:rPr>
          <w:rFonts w:ascii="黑体" w:hAnsi="黑体" w:eastAsia="黑体" w:cs="宋体"/>
          <w:b/>
          <w:bCs/>
          <w:kern w:val="0"/>
          <w:sz w:val="32"/>
          <w:szCs w:val="36"/>
        </w:rPr>
      </w:pPr>
    </w:p>
    <w:p>
      <w:pPr>
        <w:ind w:firstLine="643" w:firstLineChars="200"/>
        <w:jc w:val="left"/>
        <w:rPr>
          <w:rFonts w:ascii="黑体" w:hAnsi="黑体" w:eastAsia="黑体" w:cs="宋体"/>
          <w:b/>
          <w:bCs/>
          <w:kern w:val="0"/>
          <w:sz w:val="32"/>
          <w:szCs w:val="36"/>
        </w:rPr>
      </w:pPr>
      <w:r>
        <w:rPr>
          <w:rFonts w:ascii="黑体" w:hAnsi="黑体" w:eastAsia="黑体" w:cs="宋体"/>
          <w:b/>
          <w:bCs/>
          <w:kern w:val="0"/>
          <w:sz w:val="32"/>
          <w:szCs w:val="36"/>
        </w:rPr>
        <w:br w:type="page"/>
      </w:r>
    </w:p>
    <w:p>
      <w:pPr>
        <w:jc w:val="center"/>
        <w:rPr>
          <w:rFonts w:hAnsi="宋体"/>
          <w:lang w:bidi="ar"/>
        </w:rPr>
      </w:pPr>
      <w:r>
        <w:rPr>
          <w:rFonts w:hint="eastAsia" w:ascii="黑体" w:hAnsi="黑体" w:eastAsia="黑体" w:cs="宋体"/>
          <w:b/>
          <w:bCs/>
          <w:kern w:val="0"/>
          <w:sz w:val="32"/>
          <w:szCs w:val="36"/>
        </w:rPr>
        <w:t>《民法典合同编之合同的权力义务终止》</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(电子书课程)</w:t>
      </w:r>
    </w:p>
    <w:p>
      <w:pPr>
        <w:jc w:val="left"/>
        <w:rPr>
          <w:rFonts w:ascii="黑体" w:hAnsi="黑体" w:eastAsia="黑体" w:cs="宋体"/>
          <w:b/>
          <w:bCs/>
          <w:kern w:val="0"/>
          <w:sz w:val="32"/>
          <w:szCs w:val="36"/>
        </w:rPr>
      </w:pPr>
    </w:p>
    <w:p>
      <w:pPr>
        <w:spacing w:line="360" w:lineRule="auto"/>
        <w:jc w:val="left"/>
        <w:rPr>
          <w:rFonts w:hint="eastAsia" w:ascii="FangSong_GB2312" w:eastAsia="FangSong_GB2312"/>
          <w:sz w:val="28"/>
          <w:szCs w:val="28"/>
        </w:rPr>
      </w:pPr>
      <w:r>
        <w:rPr>
          <w:rFonts w:hint="eastAsia"/>
        </w:rPr>
        <w:t>　</w:t>
      </w:r>
      <w:r>
        <w:rPr>
          <w:rFonts w:hint="eastAsia" w:ascii="FangSong_GB2312" w:eastAsia="FangSong_GB2312"/>
          <w:sz w:val="28"/>
          <w:szCs w:val="28"/>
        </w:rPr>
        <w:t xml:space="preserve">　合同一定签订成立生效后，合同当事人应该按照合同的相关约定来履行合同义务和行使权利，但法律又规定了在某些情形下，合同的权利义务可以终止。合同权利义务终止的条件有哪些？ </w:t>
      </w:r>
    </w:p>
    <w:p>
      <w:pPr>
        <w:spacing w:line="360" w:lineRule="auto"/>
        <w:jc w:val="center"/>
        <w:rPr>
          <w:rFonts w:hint="eastAsia"/>
        </w:rPr>
      </w:pPr>
      <w:r>
        <w:drawing>
          <wp:inline distT="0" distB="0" distL="114300" distR="114300">
            <wp:extent cx="4591050" cy="1704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591050" cy="1704975"/>
                    </a:xfrm>
                    <a:prstGeom prst="rect">
                      <a:avLst/>
                    </a:prstGeom>
                    <a:noFill/>
                    <a:ln>
                      <a:noFill/>
                    </a:ln>
                  </pic:spPr>
                </pic:pic>
              </a:graphicData>
            </a:graphic>
          </wp:inline>
        </w:drawing>
      </w:r>
    </w:p>
    <w:p/>
    <w:sectPr>
      <w:headerReference r:id="rId4" w:type="first"/>
      <w:footerReference r:id="rId7" w:type="first"/>
      <w:headerReference r:id="rId3" w:type="default"/>
      <w:footerReference r:id="rId5" w:type="default"/>
      <w:footerReference r:id="rId6" w:type="even"/>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p>
    <w:pPr>
      <w:pStyle w:val="3"/>
      <w:pBdr>
        <w:bottom w:val="none" w:color="auto" w:sz="0" w:space="0"/>
      </w:pBdr>
      <w:ind w:right="18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YWMzNmU4NDA5YWYyZTRlM2Y4MjgxNGU3MjY4NDkifQ=="/>
  </w:docVars>
  <w:rsids>
    <w:rsidRoot w:val="63996C2F"/>
    <w:rsid w:val="6399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2022-12-06T00:54:00Z</dcterms:created>
  <dc:creator>garea</dc:creator>
  <cp:lastModifiedBy>garea</cp:lastModifiedBy>
  <dcterms:modified xsi:type="dcterms:W3CDTF">2022-12-06T00:55:00Z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522378BD4D1242B6B0D07CEA9B121461</vt:lpwstr>
  </property>
</Properties>
</file>