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FangSong_GB2312" w:hAnsi="宋体" w:eastAsia="FangSong_GB2312"/>
          <w:b/>
          <w:bCs/>
          <w:sz w:val="28"/>
          <w:szCs w:val="28"/>
        </w:rPr>
      </w:pPr>
      <w:bookmarkStart w:id="0" w:name="_GoBack"/>
      <w:r>
        <w:rPr>
          <w:rFonts w:hint="eastAsia" w:ascii="FangSong_GB2312" w:hAnsi="宋体" w:eastAsia="FangSong_GB2312"/>
          <w:b/>
          <w:bCs/>
          <w:sz w:val="28"/>
          <w:szCs w:val="28"/>
        </w:rPr>
        <w:t>附件</w:t>
      </w:r>
    </w:p>
    <w:p>
      <w:pPr>
        <w:jc w:val="center"/>
        <w:rPr>
          <w:rFonts w:hint="eastAsia" w:ascii="黑体" w:hAnsi="黑体" w:eastAsia="黑体"/>
          <w:b/>
          <w:bCs/>
          <w:sz w:val="44"/>
          <w:szCs w:val="44"/>
        </w:rPr>
      </w:pPr>
      <w:r>
        <w:rPr>
          <w:rFonts w:hint="eastAsia" w:ascii="黑体" w:hAnsi="黑体" w:eastAsia="黑体"/>
          <w:b/>
          <w:bCs/>
          <w:sz w:val="44"/>
          <w:szCs w:val="44"/>
        </w:rPr>
        <w:t>课程简介</w:t>
      </w:r>
    </w:p>
    <w:bookmarkEnd w:id="0"/>
    <w:p>
      <w:pPr>
        <w:jc w:val="center"/>
        <w:rPr>
          <w:rFonts w:ascii="黑体" w:hAnsi="黑体" w:eastAsia="黑体" w:cs="宋体"/>
          <w:b/>
          <w:bCs/>
          <w:kern w:val="0"/>
          <w:sz w:val="32"/>
          <w:szCs w:val="36"/>
        </w:rPr>
      </w:pPr>
      <w:r>
        <w:rPr>
          <w:rFonts w:hint="eastAsia" w:ascii="黑体" w:hAnsi="黑体" w:eastAsia="黑体" w:cs="宋体"/>
          <w:b/>
          <w:bCs/>
          <w:kern w:val="0"/>
          <w:sz w:val="32"/>
          <w:szCs w:val="36"/>
        </w:rPr>
        <w:t>《下行市场，经纪人如何弯道超车》</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FangSong_GB2312" w:hAnsi="宋体" w:eastAsia="FangSong_GB2312"/>
          <w:sz w:val="28"/>
          <w:szCs w:val="28"/>
          <w:lang w:bidi="ar"/>
        </w:rPr>
      </w:pPr>
    </w:p>
    <w:p>
      <w:pPr>
        <w:ind w:firstLine="585"/>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受市场环境和疫情等多重影响，房地产经纪人面临获客难、成交周期长等问题，如何转变作业方式成了他们的困惑。</w:t>
      </w:r>
    </w:p>
    <w:p>
      <w:pPr>
        <w:ind w:firstLine="585"/>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本次课程帮助广大中介同行拆解当前房地产经纪行业难点，把握当下行业趋势。</w:t>
      </w:r>
    </w:p>
    <w:p>
      <w:pPr>
        <w:jc w:val="center"/>
      </w:pPr>
      <w:r>
        <w:drawing>
          <wp:inline distT="0" distB="0" distL="114300" distR="114300">
            <wp:extent cx="4533900" cy="1685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33900" cy="1685925"/>
                    </a:xfrm>
                    <a:prstGeom prst="rect">
                      <a:avLst/>
                    </a:prstGeom>
                    <a:noFill/>
                    <a:ln>
                      <a:noFill/>
                    </a:ln>
                  </pic:spPr>
                </pic:pic>
              </a:graphicData>
            </a:graphic>
          </wp:inline>
        </w:drawing>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讲师</w:t>
      </w:r>
      <w:r>
        <w:rPr>
          <w:rFonts w:ascii="FangSong_GB2312" w:hAnsi="宋体" w:eastAsia="FangSong_GB2312"/>
          <w:b/>
          <w:sz w:val="28"/>
          <w:szCs w:val="28"/>
          <w:lang w:bidi="ar"/>
        </w:rPr>
        <w:t>：</w:t>
      </w:r>
      <w:r>
        <w:rPr>
          <w:rFonts w:hint="eastAsia" w:ascii="FangSong_GB2312" w:hAnsi="宋体" w:eastAsia="FangSong_GB2312"/>
          <w:sz w:val="28"/>
          <w:szCs w:val="28"/>
          <w:lang w:bidi="ar"/>
        </w:rPr>
        <w:t>米广强</w:t>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背景</w:t>
      </w:r>
      <w:r>
        <w:rPr>
          <w:rFonts w:ascii="FangSong_GB2312" w:hAnsi="宋体" w:eastAsia="FangSong_GB2312"/>
          <w:b/>
          <w:sz w:val="28"/>
          <w:szCs w:val="28"/>
          <w:lang w:bidi="ar"/>
        </w:rPr>
        <w:t>：</w:t>
      </w:r>
      <w:r>
        <w:rPr>
          <w:rFonts w:hint="eastAsia" w:ascii="FangSong_GB2312" w:hAnsi="宋体" w:eastAsia="FangSong_GB2312"/>
          <w:sz w:val="28"/>
          <w:szCs w:val="28"/>
          <w:lang w:bidi="ar"/>
        </w:rPr>
        <w:t>58</w:t>
      </w:r>
      <w:r>
        <w:rPr>
          <w:rFonts w:ascii="FangSong_GB2312" w:hAnsi="宋体" w:eastAsia="FangSong_GB2312"/>
          <w:sz w:val="28"/>
          <w:szCs w:val="28"/>
          <w:lang w:bidi="ar"/>
        </w:rPr>
        <w:t>安居客培训赋能中心高级培训师</w:t>
      </w:r>
    </w:p>
    <w:p>
      <w:pPr>
        <w:jc w:val="center"/>
        <w:rPr>
          <w:rFonts w:ascii="黑体" w:hAnsi="黑体" w:eastAsia="黑体"/>
          <w:b/>
          <w:bCs/>
          <w:sz w:val="44"/>
          <w:szCs w:val="44"/>
        </w:rPr>
      </w:pPr>
      <w:r>
        <w:rPr>
          <w:rFonts w:hint="eastAsia" w:ascii="FangSong_GB2312" w:hAnsi="宋体" w:eastAsia="FangSong_GB2312"/>
          <w:sz w:val="28"/>
          <w:szCs w:val="28"/>
          <w:lang w:bidi="ar"/>
        </w:rPr>
        <w:t>　　</w:t>
      </w:r>
      <w:r>
        <w:rPr>
          <w:rFonts w:hint="eastAsia" w:ascii="FangSong_GB2312" w:hAnsi="宋体" w:eastAsia="FangSong_GB2312"/>
          <w:b/>
          <w:sz w:val="28"/>
          <w:szCs w:val="28"/>
          <w:lang w:bidi="ar"/>
        </w:rPr>
        <w:t>简介</w:t>
      </w:r>
      <w:r>
        <w:rPr>
          <w:rFonts w:ascii="FangSong_GB2312" w:hAnsi="宋体" w:eastAsia="FangSong_GB2312"/>
          <w:b/>
          <w:sz w:val="28"/>
          <w:szCs w:val="28"/>
          <w:lang w:bidi="ar"/>
        </w:rPr>
        <w:t>：</w:t>
      </w:r>
      <w:r>
        <w:rPr>
          <w:rFonts w:ascii="FangSong_GB2312" w:hAnsi="宋体" w:eastAsia="FangSong_GB2312"/>
          <w:sz w:val="28"/>
          <w:szCs w:val="28"/>
          <w:lang w:bidi="ar"/>
        </w:rPr>
        <w:t>一直专注于房地产行业一线销售人员心态管理、目标规划、团队建设方面的研究、培训工作，尤其对人才培养和发展，房产经纪人潜能激发有独到的建树。教学风格善用互动、体验、启发的方式，能够结合丰富的教学案例分析，能够真正房产经纪人找到属于自己的发展方向，激发自我潜能。</w:t>
      </w:r>
      <w:r>
        <w:rPr>
          <w:rFonts w:ascii="黑体" w:hAnsi="黑体" w:eastAsia="黑体" w:cs="宋体"/>
          <w:b/>
          <w:bCs/>
          <w:kern w:val="0"/>
          <w:sz w:val="32"/>
          <w:szCs w:val="36"/>
        </w:rPr>
        <w:br w:type="page"/>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《房地产中介业务风险防范》</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FangSong_GB2312" w:hAnsi="宋体" w:eastAsia="FangSong_GB2312"/>
          <w:sz w:val="28"/>
          <w:szCs w:val="28"/>
          <w:lang w:bidi="ar"/>
        </w:rPr>
      </w:pPr>
    </w:p>
    <w:p>
      <w:pPr>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　　房地产交易过程长、手续多，房地产中介从业人员很容易因操作不规范或法律风险意识淡薄产生各类纠纷。</w:t>
      </w:r>
    </w:p>
    <w:p>
      <w:pPr>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　　本次课程帮助广大中介同行设立预防机制，提高交易风险防范能力，有效降低交易纠纷出现的概率。</w:t>
      </w:r>
    </w:p>
    <w:p>
      <w:pPr>
        <w:jc w:val="center"/>
      </w:pPr>
      <w:r>
        <w:drawing>
          <wp:inline distT="0" distB="0" distL="114300" distR="114300">
            <wp:extent cx="4524375" cy="1695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524375" cy="1695450"/>
                    </a:xfrm>
                    <a:prstGeom prst="rect">
                      <a:avLst/>
                    </a:prstGeom>
                    <a:noFill/>
                    <a:ln>
                      <a:noFill/>
                    </a:ln>
                  </pic:spPr>
                </pic:pic>
              </a:graphicData>
            </a:graphic>
          </wp:inline>
        </w:drawing>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讲师</w:t>
      </w:r>
      <w:r>
        <w:rPr>
          <w:rFonts w:ascii="FangSong_GB2312" w:hAnsi="宋体" w:eastAsia="FangSong_GB2312"/>
          <w:b/>
          <w:sz w:val="28"/>
          <w:szCs w:val="28"/>
          <w:lang w:bidi="ar"/>
        </w:rPr>
        <w:t>：</w:t>
      </w:r>
      <w:r>
        <w:rPr>
          <w:rFonts w:hint="eastAsia" w:ascii="FangSong_GB2312" w:hAnsi="宋体" w:eastAsia="FangSong_GB2312"/>
          <w:sz w:val="28"/>
          <w:szCs w:val="28"/>
          <w:lang w:bidi="ar"/>
        </w:rPr>
        <w:t>江能明</w:t>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背景</w:t>
      </w:r>
      <w:r>
        <w:rPr>
          <w:rFonts w:ascii="FangSong_GB2312" w:hAnsi="宋体" w:eastAsia="FangSong_GB2312"/>
          <w:b/>
          <w:sz w:val="28"/>
          <w:szCs w:val="28"/>
          <w:lang w:bidi="ar"/>
        </w:rPr>
        <w:t>：</w:t>
      </w:r>
      <w:r>
        <w:rPr>
          <w:rFonts w:hint="eastAsia" w:ascii="FangSong_GB2312" w:hAnsi="宋体" w:eastAsia="FangSong_GB2312"/>
          <w:sz w:val="28"/>
          <w:szCs w:val="28"/>
          <w:lang w:bidi="ar"/>
        </w:rPr>
        <w:t>广东梵君律师事务所商业诉讼业务主任</w:t>
      </w:r>
    </w:p>
    <w:p>
      <w:pPr>
        <w:jc w:val="left"/>
        <w:rPr>
          <w:rFonts w:ascii="黑体" w:hAnsi="黑体" w:eastAsia="黑体"/>
          <w:b/>
          <w:bCs/>
          <w:sz w:val="44"/>
          <w:szCs w:val="44"/>
        </w:rPr>
      </w:pPr>
      <w:r>
        <w:rPr>
          <w:rFonts w:hint="eastAsia" w:ascii="FangSong_GB2312" w:hAnsi="宋体" w:eastAsia="FangSong_GB2312"/>
          <w:sz w:val="28"/>
          <w:szCs w:val="28"/>
          <w:lang w:bidi="ar"/>
        </w:rPr>
        <w:t>　　</w:t>
      </w:r>
      <w:r>
        <w:rPr>
          <w:rFonts w:hint="eastAsia" w:ascii="FangSong_GB2312" w:hAnsi="宋体" w:eastAsia="FangSong_GB2312"/>
          <w:b/>
          <w:sz w:val="28"/>
          <w:szCs w:val="28"/>
          <w:lang w:bidi="ar"/>
        </w:rPr>
        <w:t>简介</w:t>
      </w:r>
      <w:r>
        <w:rPr>
          <w:rFonts w:ascii="FangSong_GB2312" w:hAnsi="宋体" w:eastAsia="FangSong_GB2312"/>
          <w:b/>
          <w:sz w:val="28"/>
          <w:szCs w:val="28"/>
          <w:lang w:bidi="ar"/>
        </w:rPr>
        <w:t>：</w:t>
      </w:r>
      <w:r>
        <w:rPr>
          <w:rFonts w:hint="eastAsia" w:ascii="FangSong_GB2312" w:hAnsi="宋体" w:eastAsia="FangSong_GB2312"/>
          <w:sz w:val="28"/>
          <w:szCs w:val="28"/>
          <w:lang w:bidi="ar"/>
        </w:rPr>
        <w:t>主要从事知识产权、资本市场、商业诉讼及综合法律业务等领域的法律顾问服务工作，致力于知识产权在中国的实施以及行政保护，为客户提供公司与合规、民商事争议、商标、专利、著作权、商业秘密等方面的咨询与跟踪法律服务、为企业制定品牌管理和保护策略，成功代理、跟踪与维护过多起案情复杂的知识产权行政案件、侵权案件、商事纠纷等案件，积累了丰富的知识产权、商业诉讼法律顾问服务经验。</w:t>
      </w:r>
    </w:p>
    <w:p>
      <w:pPr>
        <w:jc w:val="center"/>
        <w:rPr>
          <w:rFonts w:hint="eastAsia" w:ascii="黑体" w:hAnsi="黑体" w:eastAsia="黑体" w:cs="宋体"/>
          <w:b/>
          <w:bCs/>
          <w:kern w:val="0"/>
          <w:sz w:val="32"/>
          <w:szCs w:val="36"/>
        </w:rPr>
      </w:pPr>
    </w:p>
    <w:p>
      <w:pPr>
        <w:jc w:val="center"/>
        <w:rPr>
          <w:rFonts w:hint="eastAsia" w:ascii="黑体" w:hAnsi="黑体" w:eastAsia="黑体" w:cs="宋体"/>
          <w:b/>
          <w:bCs/>
          <w:kern w:val="0"/>
          <w:sz w:val="32"/>
          <w:szCs w:val="36"/>
        </w:rPr>
      </w:pP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《合同撤销或解除后对中介费的影响》</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FangSong_GB2312" w:hAnsi="宋体" w:eastAsia="FangSong_GB2312"/>
          <w:sz w:val="28"/>
          <w:szCs w:val="28"/>
          <w:lang w:bidi="ar"/>
        </w:rPr>
      </w:pPr>
    </w:p>
    <w:p>
      <w:pPr>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　　房地产中介合同不成立、被解除、被撤销或被确认无效后的中介费纠纷在房地产交易的实践中大量存在。</w:t>
      </w:r>
    </w:p>
    <w:p>
      <w:pPr>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　　本次课程帮助广大中介同行了解合同的效力认定，做好合同订立风险管理。</w:t>
      </w:r>
    </w:p>
    <w:p>
      <w:pPr>
        <w:jc w:val="center"/>
      </w:pPr>
      <w:r>
        <w:drawing>
          <wp:inline distT="0" distB="0" distL="114300" distR="114300">
            <wp:extent cx="4543425" cy="1695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543425" cy="1695450"/>
                    </a:xfrm>
                    <a:prstGeom prst="rect">
                      <a:avLst/>
                    </a:prstGeom>
                    <a:noFill/>
                    <a:ln>
                      <a:noFill/>
                    </a:ln>
                  </pic:spPr>
                </pic:pic>
              </a:graphicData>
            </a:graphic>
          </wp:inline>
        </w:drawing>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讲师</w:t>
      </w:r>
      <w:r>
        <w:rPr>
          <w:rFonts w:ascii="FangSong_GB2312" w:hAnsi="宋体" w:eastAsia="FangSong_GB2312"/>
          <w:b/>
          <w:sz w:val="28"/>
          <w:szCs w:val="28"/>
          <w:lang w:bidi="ar"/>
        </w:rPr>
        <w:t>：</w:t>
      </w:r>
      <w:r>
        <w:rPr>
          <w:rFonts w:hint="eastAsia" w:ascii="FangSong_GB2312" w:hAnsi="宋体" w:eastAsia="FangSong_GB2312"/>
          <w:sz w:val="28"/>
          <w:szCs w:val="28"/>
          <w:lang w:bidi="ar"/>
        </w:rPr>
        <w:t>江能明</w:t>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背景</w:t>
      </w:r>
      <w:r>
        <w:rPr>
          <w:rFonts w:ascii="FangSong_GB2312" w:hAnsi="宋体" w:eastAsia="FangSong_GB2312"/>
          <w:b/>
          <w:sz w:val="28"/>
          <w:szCs w:val="28"/>
          <w:lang w:bidi="ar"/>
        </w:rPr>
        <w:t>：</w:t>
      </w:r>
      <w:r>
        <w:rPr>
          <w:rFonts w:hint="eastAsia" w:ascii="FangSong_GB2312" w:hAnsi="宋体" w:eastAsia="FangSong_GB2312"/>
          <w:sz w:val="28"/>
          <w:szCs w:val="28"/>
          <w:lang w:bidi="ar"/>
        </w:rPr>
        <w:t>广东梵君律师事务所商业诉讼业务主任</w:t>
      </w:r>
    </w:p>
    <w:p>
      <w:pPr>
        <w:ind w:firstLine="562" w:firstLineChars="200"/>
        <w:jc w:val="left"/>
        <w:rPr>
          <w:rFonts w:ascii="黑体" w:hAnsi="黑体" w:eastAsia="黑体"/>
          <w:b/>
          <w:bCs/>
          <w:sz w:val="44"/>
          <w:szCs w:val="44"/>
        </w:rPr>
      </w:pPr>
      <w:r>
        <w:rPr>
          <w:rFonts w:hint="eastAsia" w:ascii="FangSong_GB2312" w:hAnsi="宋体" w:eastAsia="FangSong_GB2312"/>
          <w:b/>
          <w:sz w:val="28"/>
          <w:szCs w:val="28"/>
          <w:lang w:bidi="ar"/>
        </w:rPr>
        <w:t>简介</w:t>
      </w:r>
      <w:r>
        <w:rPr>
          <w:rFonts w:ascii="FangSong_GB2312" w:hAnsi="宋体" w:eastAsia="FangSong_GB2312"/>
          <w:b/>
          <w:sz w:val="28"/>
          <w:szCs w:val="28"/>
          <w:lang w:bidi="ar"/>
        </w:rPr>
        <w:t>：</w:t>
      </w:r>
      <w:r>
        <w:rPr>
          <w:rFonts w:hint="eastAsia" w:ascii="FangSong_GB2312" w:hAnsi="宋体" w:eastAsia="FangSong_GB2312"/>
          <w:sz w:val="28"/>
          <w:szCs w:val="28"/>
          <w:lang w:bidi="ar"/>
        </w:rPr>
        <w:t>主要从事知识产权、资本市场、商业诉讼及综合法律业务等领域的法律顾问服务工作，致力于知识产权在中国的实施以及行政保护，为客户提供公司与合规、民商事争议、商标、专利、著作权、商业秘密等方面的咨询与跟踪法律服务、为企业制定品牌管理和保护策略，成功代理、跟踪与维护过多起案情复杂的知识产权行政案件、侵权案件、商事纠纷等案件，积累了丰富的知识产权、商业诉讼法律顾问服务经验。</w:t>
      </w:r>
    </w:p>
    <w:p>
      <w:pPr>
        <w:jc w:val="center"/>
        <w:rPr>
          <w:rFonts w:ascii="黑体" w:hAnsi="黑体" w:eastAsia="黑体"/>
          <w:b/>
          <w:bCs/>
          <w:sz w:val="44"/>
          <w:szCs w:val="44"/>
        </w:rPr>
      </w:pPr>
      <w:r>
        <w:rPr>
          <w:rFonts w:ascii="黑体" w:hAnsi="黑体" w:eastAsia="黑体"/>
          <w:b/>
          <w:bCs/>
          <w:sz w:val="44"/>
          <w:szCs w:val="44"/>
        </w:rPr>
        <w:br w:type="page"/>
      </w:r>
    </w:p>
    <w:p>
      <w:pPr>
        <w:jc w:val="cente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2022</w:t>
      </w:r>
      <w:r>
        <w:rPr>
          <w:rFonts w:hint="eastAsia" w:ascii="黑体" w:hAnsi="黑体" w:eastAsia="黑体" w:cs="宋体"/>
          <w:b/>
          <w:bCs/>
          <w:kern w:val="0"/>
          <w:sz w:val="32"/>
          <w:szCs w:val="36"/>
        </w:rPr>
        <w:t>年第11期)——税费告知（增值税）》</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spacing w:line="560" w:lineRule="exact"/>
        <w:ind w:firstLine="560" w:firstLineChars="200"/>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《看案例 学法规》系列课程，是以消费者向广州市房地产中介协会反映房地产中介在提供中介服务过程中存在违法违规行为的投诉案件为原型，改编为课程案例。</w:t>
      </w:r>
    </w:p>
    <w:p>
      <w:pPr>
        <w:spacing w:line="560" w:lineRule="exact"/>
        <w:ind w:firstLine="560" w:firstLineChars="200"/>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通过案例分析，解读相关政策法规，以期广大会员同行在为消费者提供中介服务时，诚信执业、规范操作，避免不必要的交易纠纷和行政处罚风险。</w:t>
      </w:r>
    </w:p>
    <w:p>
      <w:pPr>
        <w:jc w:val="center"/>
        <w:rPr>
          <w:rFonts w:hint="eastAsia" w:ascii="FangSong_GB2312" w:eastAsia="FangSong_GB2312"/>
          <w:sz w:val="28"/>
          <w:szCs w:val="28"/>
        </w:rPr>
      </w:pPr>
      <w:r>
        <w:drawing>
          <wp:inline distT="0" distB="0" distL="114300" distR="114300">
            <wp:extent cx="4533900" cy="170497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4533900" cy="1704975"/>
                    </a:xfrm>
                    <a:prstGeom prst="rect">
                      <a:avLst/>
                    </a:prstGeom>
                    <a:noFill/>
                    <a:ln>
                      <a:noFill/>
                    </a:ln>
                  </pic:spPr>
                </pic:pic>
              </a:graphicData>
            </a:graphic>
          </wp:inline>
        </w:drawing>
      </w:r>
      <w:r>
        <w:rPr>
          <w:rFonts w:hint="eastAsia" w:ascii="FangSong_GB2312" w:eastAsia="FangSong_GB2312"/>
          <w:sz w:val="28"/>
          <w:szCs w:val="28"/>
        </w:rPr>
        <w:t xml:space="preserve"> </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讲师：</w:t>
      </w:r>
      <w:r>
        <w:rPr>
          <w:rFonts w:hint="eastAsia" w:ascii="FangSong_GB2312" w:hAnsi="宋体" w:eastAsia="FangSong_GB2312"/>
          <w:sz w:val="28"/>
          <w:szCs w:val="28"/>
          <w:lang w:bidi="ar"/>
        </w:rPr>
        <w:t>林嘉敏</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背景：</w:t>
      </w:r>
      <w:r>
        <w:rPr>
          <w:rFonts w:hint="eastAsia" w:ascii="FangSong_GB2312" w:hAnsi="宋体" w:eastAsia="FangSong_GB2312"/>
          <w:sz w:val="28"/>
          <w:szCs w:val="28"/>
          <w:lang w:bidi="ar"/>
        </w:rPr>
        <w:t>广州市房地产中介协会法务专员</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简介：</w:t>
      </w:r>
      <w:r>
        <w:rPr>
          <w:rFonts w:hint="eastAsia" w:ascii="FangSong_GB2312" w:hAnsi="宋体" w:eastAsia="FangSong_GB2312"/>
          <w:sz w:val="28"/>
          <w:szCs w:val="28"/>
          <w:lang w:bidi="ar"/>
        </w:rPr>
        <w:t>现任职广州市房地产中介协会法务组，处理二手房交易纠纷投诉业务，熟悉房地产交易流程及房地产相关法律法规；在协会任职期间，组织调解工作，接待来访市民咨询投诉，解答关于二手房交易的相关问题，能够热情耐心地解答群众问题，高效率、高质量完成经办的案件。</w:t>
      </w:r>
    </w:p>
    <w:p>
      <w:pPr>
        <w:ind w:firstLine="420" w:firstLineChars="200"/>
        <w:jc w:val="left"/>
        <w:rPr>
          <w:rFonts w:hAnsi="宋体"/>
          <w:lang w:bidi="ar"/>
        </w:rPr>
      </w:pPr>
    </w:p>
    <w:p>
      <w:pPr>
        <w:tabs>
          <w:tab w:val="left" w:pos="1020"/>
        </w:tabs>
        <w:spacing w:line="276" w:lineRule="auto"/>
        <w:ind w:firstLine="422" w:firstLineChars="200"/>
        <w:jc w:val="left"/>
        <w:rPr>
          <w:rFonts w:hAnsi="宋体"/>
          <w:b/>
          <w:lang w:bidi="ar"/>
        </w:rPr>
      </w:pPr>
    </w:p>
    <w:p>
      <w:pPr>
        <w:widowControl/>
        <w:jc w:val="left"/>
        <w:rPr>
          <w:rFonts w:ascii="黑体" w:hAnsi="黑体" w:eastAsia="黑体" w:cs="宋体"/>
          <w:b/>
          <w:bCs/>
          <w:kern w:val="0"/>
          <w:sz w:val="32"/>
          <w:szCs w:val="36"/>
        </w:rPr>
      </w:pPr>
    </w:p>
    <w:p>
      <w:pPr>
        <w:rPr>
          <w:rFonts w:ascii="黑体" w:hAnsi="黑体" w:eastAsia="黑体"/>
          <w:b/>
          <w:bCs/>
          <w:sz w:val="44"/>
          <w:szCs w:val="44"/>
        </w:rPr>
      </w:pPr>
    </w:p>
    <w:p>
      <w:pPr>
        <w:jc w:val="cente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2022</w:t>
      </w:r>
      <w:r>
        <w:rPr>
          <w:rFonts w:hint="eastAsia" w:ascii="黑体" w:hAnsi="黑体" w:eastAsia="黑体" w:cs="宋体"/>
          <w:b/>
          <w:bCs/>
          <w:kern w:val="0"/>
          <w:sz w:val="32"/>
          <w:szCs w:val="36"/>
        </w:rPr>
        <w:t>年第12期)——抵押权》</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spacing w:line="560" w:lineRule="exact"/>
        <w:ind w:firstLine="560" w:firstLineChars="200"/>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《看案例 学法规》系列课程，是以消费者向广州市房地产中介协会反映房地产中介在提供中介服务过程中存在违法违规行为的投诉案件为原型，改编为课程案例。</w:t>
      </w:r>
    </w:p>
    <w:p>
      <w:pPr>
        <w:spacing w:line="560" w:lineRule="exact"/>
        <w:ind w:firstLine="560" w:firstLineChars="200"/>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通过案例分析，解读相关政策法规，以期广大会员同行在为消费者提供中介服务时，诚信执业、规范操作，避免不必要的交易纠纷和行政处罚风险。</w:t>
      </w:r>
    </w:p>
    <w:p>
      <w:pPr>
        <w:jc w:val="center"/>
        <w:rPr>
          <w:rFonts w:hint="eastAsia" w:ascii="FangSong_GB2312" w:eastAsia="FangSong_GB2312"/>
          <w:sz w:val="28"/>
          <w:szCs w:val="28"/>
        </w:rPr>
      </w:pPr>
      <w:r>
        <w:drawing>
          <wp:inline distT="0" distB="0" distL="114300" distR="114300">
            <wp:extent cx="4524375" cy="168592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4524375" cy="1685925"/>
                    </a:xfrm>
                    <a:prstGeom prst="rect">
                      <a:avLst/>
                    </a:prstGeom>
                    <a:noFill/>
                    <a:ln>
                      <a:noFill/>
                    </a:ln>
                  </pic:spPr>
                </pic:pic>
              </a:graphicData>
            </a:graphic>
          </wp:inline>
        </w:drawing>
      </w:r>
      <w:r>
        <w:rPr>
          <w:rFonts w:hint="eastAsia" w:ascii="FangSong_GB2312" w:eastAsia="FangSong_GB2312"/>
          <w:sz w:val="28"/>
          <w:szCs w:val="28"/>
        </w:rPr>
        <w:t xml:space="preserve"> </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讲师：</w:t>
      </w:r>
      <w:r>
        <w:rPr>
          <w:rFonts w:hint="eastAsia" w:ascii="FangSong_GB2312" w:hAnsi="宋体" w:eastAsia="FangSong_GB2312"/>
          <w:sz w:val="28"/>
          <w:szCs w:val="28"/>
          <w:lang w:bidi="ar"/>
        </w:rPr>
        <w:t>王俊轩</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背景：</w:t>
      </w:r>
      <w:r>
        <w:rPr>
          <w:rFonts w:hint="eastAsia" w:ascii="FangSong_GB2312" w:hAnsi="宋体" w:eastAsia="FangSong_GB2312"/>
          <w:sz w:val="28"/>
          <w:szCs w:val="28"/>
          <w:lang w:bidi="ar"/>
        </w:rPr>
        <w:t>广州市房地产中介协会行业发展与服务部副部长</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简介：</w:t>
      </w:r>
      <w:r>
        <w:rPr>
          <w:rFonts w:hint="eastAsia" w:ascii="FangSong_GB2312" w:hAnsi="宋体" w:eastAsia="FangSong_GB2312"/>
          <w:sz w:val="28"/>
          <w:szCs w:val="28"/>
          <w:lang w:bidi="ar"/>
        </w:rPr>
        <w:t>现任职于广州市房地产中介协会，负责协会法人治理、政策法规宣传、房屋交易纠纷协调、二手房案例分析发布等工作，熟悉房地产交易流程及房地产相关法律法规，为会员单位提供专业法律咨询。</w:t>
      </w:r>
    </w:p>
    <w:p>
      <w:pPr>
        <w:widowControl/>
        <w:jc w:val="left"/>
        <w:rPr>
          <w:rFonts w:ascii="黑体" w:hAnsi="黑体" w:eastAsia="黑体" w:cs="宋体"/>
          <w:b/>
          <w:bCs/>
          <w:kern w:val="0"/>
          <w:sz w:val="32"/>
          <w:szCs w:val="36"/>
        </w:rPr>
      </w:pPr>
    </w:p>
    <w:p>
      <w:pPr>
        <w:widowControl/>
        <w:jc w:val="left"/>
        <w:rPr>
          <w:rFonts w:ascii="黑体" w:hAnsi="黑体" w:eastAsia="黑体" w:cs="宋体"/>
          <w:b/>
          <w:bCs/>
          <w:kern w:val="0"/>
          <w:sz w:val="32"/>
          <w:szCs w:val="36"/>
        </w:rPr>
      </w:pPr>
      <w:r>
        <w:rPr>
          <w:rFonts w:ascii="黑体" w:hAnsi="黑体" w:eastAsia="黑体" w:cs="宋体"/>
          <w:b/>
          <w:bCs/>
          <w:kern w:val="0"/>
          <w:sz w:val="32"/>
          <w:szCs w:val="36"/>
        </w:rPr>
        <w:br w:type="page"/>
      </w:r>
    </w:p>
    <w:p>
      <w:pPr>
        <w:jc w:val="center"/>
        <w:rPr>
          <w:rFonts w:hAnsi="宋体"/>
          <w:lang w:bidi="ar"/>
        </w:rPr>
      </w:pPr>
      <w:r>
        <w:rPr>
          <w:rFonts w:hint="eastAsia" w:ascii="黑体" w:hAnsi="黑体" w:eastAsia="黑体" w:cs="宋体"/>
          <w:b/>
          <w:bCs/>
          <w:kern w:val="0"/>
          <w:sz w:val="32"/>
          <w:szCs w:val="36"/>
        </w:rPr>
        <w:t>《民法典合同编之合同的违约责任》</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spacing w:line="360" w:lineRule="auto"/>
        <w:ind w:firstLine="495"/>
        <w:jc w:val="left"/>
        <w:rPr>
          <w:rFonts w:ascii="FangSong_GB2312" w:eastAsia="FangSong_GB2312"/>
          <w:sz w:val="28"/>
          <w:szCs w:val="28"/>
        </w:rPr>
      </w:pPr>
      <w:r>
        <w:rPr>
          <w:rFonts w:hint="eastAsia" w:ascii="FangSong_GB2312" w:eastAsia="FangSong_GB2312"/>
          <w:sz w:val="28"/>
          <w:szCs w:val="28"/>
        </w:rPr>
        <w:t>合同的违约责任需要由违约的一方来进行承担，但对于承担的方式就会结合不同的违约种类来进行办理。</w:t>
      </w:r>
    </w:p>
    <w:p>
      <w:pPr>
        <w:spacing w:line="360" w:lineRule="auto"/>
        <w:ind w:firstLine="495"/>
        <w:jc w:val="left"/>
        <w:rPr>
          <w:rFonts w:ascii="FangSong_GB2312" w:eastAsia="FangSong_GB2312"/>
          <w:sz w:val="28"/>
          <w:szCs w:val="28"/>
        </w:rPr>
      </w:pPr>
      <w:r>
        <w:rPr>
          <w:rFonts w:hint="eastAsia" w:ascii="FangSong_GB2312" w:eastAsia="FangSong_GB2312"/>
          <w:sz w:val="28"/>
          <w:szCs w:val="28"/>
        </w:rPr>
        <w:t>合同违约责任有继续履行、采取补救措施、赔偿损失、违约金、定金责任等。</w:t>
      </w:r>
    </w:p>
    <w:p>
      <w:pPr>
        <w:spacing w:line="360" w:lineRule="auto"/>
        <w:jc w:val="center"/>
      </w:pPr>
      <w:r>
        <w:drawing>
          <wp:inline distT="0" distB="0" distL="114300" distR="114300">
            <wp:extent cx="4524375" cy="1676400"/>
            <wp:effectExtent l="0" t="0" r="9525"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a:stretch>
                      <a:fillRect/>
                    </a:stretch>
                  </pic:blipFill>
                  <pic:spPr>
                    <a:xfrm>
                      <a:off x="0" y="0"/>
                      <a:ext cx="4524375" cy="1676400"/>
                    </a:xfrm>
                    <a:prstGeom prst="rect">
                      <a:avLst/>
                    </a:prstGeom>
                    <a:noFill/>
                    <a:ln>
                      <a:noFill/>
                    </a:ln>
                  </pic:spPr>
                </pic:pic>
              </a:graphicData>
            </a:graphic>
          </wp:inline>
        </w:drawing>
      </w:r>
    </w:p>
    <w:p>
      <w:pPr>
        <w:spacing w:line="360" w:lineRule="auto"/>
        <w:jc w:val="center"/>
      </w:pPr>
    </w:p>
    <w:p>
      <w:pPr>
        <w:spacing w:line="360" w:lineRule="auto"/>
        <w:jc w:val="center"/>
        <w:rPr>
          <w:rFonts w:hint="eastAsia" w:ascii="FangSong_GB2312" w:eastAsia="FangSong_GB2312"/>
          <w:b/>
          <w:sz w:val="32"/>
          <w:szCs w:val="32"/>
        </w:rPr>
      </w:pPr>
    </w:p>
    <w:p>
      <w:pPr>
        <w:rPr>
          <w:rFonts w:hint="eastAsia"/>
        </w:rPr>
      </w:pPr>
    </w:p>
    <w:p/>
    <w:sectPr>
      <w:headerReference r:id="rId4" w:type="first"/>
      <w:footerReference r:id="rId7" w:type="first"/>
      <w:headerReference r:id="rId3" w:type="default"/>
      <w:footerReference r:id="rId5" w:type="default"/>
      <w:footerReference r:id="rId6" w:type="even"/>
      <w:pgSz w:w="11906" w:h="16838"/>
      <w:pgMar w:top="1418" w:right="1134"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p>
    <w:pPr>
      <w:pStyle w:val="3"/>
      <w:pBdr>
        <w:bottom w:val="none" w:color="auto" w:sz="0" w:space="0"/>
      </w:pBdr>
      <w:ind w:right="18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54591F76"/>
    <w:rsid w:val="5459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2023-01-09T10:04:00Z</dcterms:created>
  <dc:creator>garea</dc:creator>
  <cp:lastModifiedBy>garea</cp:lastModifiedBy>
  <dcterms:modified xsi:type="dcterms:W3CDTF">2023-01-09T10:04:45Z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26B46BE992454209BBE9CE4CBF0417CD</vt:lpwstr>
  </property>
</Properties>
</file>