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FangSong_GB2312" w:hAnsi="宋体" w:eastAsia="FangSong_GB2312"/>
          <w:b/>
          <w:bCs/>
          <w:sz w:val="28"/>
          <w:szCs w:val="28"/>
        </w:rPr>
      </w:pPr>
      <w:bookmarkStart w:id="0" w:name="_GoBack"/>
      <w:r>
        <w:rPr>
          <w:rFonts w:hint="eastAsia" w:ascii="FangSong_GB2312" w:hAnsi="宋体" w:eastAsia="FangSong_GB2312"/>
          <w:b/>
          <w:bCs/>
          <w:sz w:val="28"/>
          <w:szCs w:val="28"/>
        </w:rPr>
        <w:t>附件</w:t>
      </w:r>
    </w:p>
    <w:p>
      <w:pPr>
        <w:jc w:val="center"/>
        <w:rPr>
          <w:rFonts w:ascii="黑体" w:hAnsi="黑体" w:eastAsia="黑体"/>
          <w:b/>
          <w:bCs/>
          <w:sz w:val="44"/>
          <w:szCs w:val="44"/>
        </w:rPr>
      </w:pPr>
      <w:r>
        <w:rPr>
          <w:rFonts w:hint="eastAsia" w:ascii="黑体" w:hAnsi="黑体" w:eastAsia="黑体"/>
          <w:b/>
          <w:bCs/>
          <w:sz w:val="44"/>
          <w:szCs w:val="44"/>
        </w:rPr>
        <w:t>课程简介</w:t>
      </w:r>
    </w:p>
    <w:bookmarkEnd w:id="0"/>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w:t>
      </w:r>
      <w:r>
        <w:rPr>
          <w:rFonts w:hint="eastAsia" w:ascii="黑体" w:hAnsi="黑体" w:eastAsia="黑体" w:cs="宋体"/>
          <w:b/>
          <w:bCs/>
          <w:kern w:val="0"/>
          <w:sz w:val="32"/>
          <w:szCs w:val="36"/>
        </w:rPr>
        <w:t>3年第4期)——配偶违约》</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FangSong_GB2312" w:eastAsia="FangSong_GB2312"/>
          <w:sz w:val="28"/>
          <w:szCs w:val="28"/>
        </w:rPr>
      </w:pPr>
      <w:r>
        <w:drawing>
          <wp:inline distT="0" distB="0" distL="114300" distR="114300">
            <wp:extent cx="4552950" cy="17049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4552950" cy="1704975"/>
                    </a:xfrm>
                    <a:prstGeom prst="rect">
                      <a:avLst/>
                    </a:prstGeom>
                    <a:noFill/>
                    <a:ln>
                      <a:noFill/>
                    </a:ln>
                  </pic:spPr>
                </pic:pic>
              </a:graphicData>
            </a:graphic>
          </wp:inline>
        </w:drawing>
      </w:r>
      <w:r>
        <w:rPr>
          <w:rFonts w:hint="eastAsia" w:ascii="FangSong_GB2312" w:eastAsia="FangSong_GB2312"/>
          <w:sz w:val="28"/>
          <w:szCs w:val="28"/>
        </w:rPr>
        <w:t xml:space="preserve"> </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讲师：</w:t>
      </w:r>
      <w:r>
        <w:rPr>
          <w:rFonts w:hint="eastAsia" w:ascii="FangSong_GB2312" w:hAnsi="宋体" w:eastAsia="FangSong_GB2312"/>
          <w:sz w:val="28"/>
          <w:szCs w:val="28"/>
          <w:lang w:bidi="ar"/>
        </w:rPr>
        <w:t>王俊轩</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背景：</w:t>
      </w:r>
      <w:r>
        <w:rPr>
          <w:rFonts w:hint="eastAsia" w:ascii="FangSong_GB2312" w:hAnsi="宋体" w:eastAsia="FangSong_GB2312"/>
          <w:sz w:val="28"/>
          <w:szCs w:val="28"/>
          <w:lang w:bidi="ar"/>
        </w:rPr>
        <w:t>广州市房地产中介协会行业发展与服务部副部长</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简介：</w:t>
      </w:r>
      <w:r>
        <w:rPr>
          <w:rFonts w:hint="eastAsia" w:ascii="FangSong_GB2312" w:hAnsi="宋体" w:eastAsia="FangSong_GB2312"/>
          <w:sz w:val="28"/>
          <w:szCs w:val="28"/>
          <w:lang w:bidi="ar"/>
        </w:rPr>
        <w:t>现任职于广州市房地产中介协会，负责协会法人治理、政策法规宣传、房屋交易纠纷协调、二手房案例分析发布等工作，熟悉房地产交易流程及房地产相关法律法规，为会员单位提供专业法律咨询。</w:t>
      </w:r>
    </w:p>
    <w:p>
      <w:pPr>
        <w:tabs>
          <w:tab w:val="left" w:pos="1020"/>
        </w:tabs>
        <w:spacing w:line="276" w:lineRule="auto"/>
        <w:ind w:firstLine="422" w:firstLineChars="200"/>
        <w:jc w:val="left"/>
        <w:rPr>
          <w:rFonts w:hAnsi="宋体"/>
          <w:b/>
          <w:lang w:bidi="ar"/>
        </w:rPr>
      </w:pPr>
    </w:p>
    <w:p>
      <w:pPr>
        <w:jc w:val="left"/>
        <w:rPr>
          <w:rFonts w:ascii="黑体" w:hAnsi="黑体" w:eastAsia="黑体" w:cs="宋体"/>
          <w:b/>
          <w:bCs/>
          <w:kern w:val="0"/>
          <w:sz w:val="32"/>
          <w:szCs w:val="36"/>
        </w:rPr>
      </w:pPr>
    </w:p>
    <w:p>
      <w:pPr>
        <w:jc w:val="center"/>
        <w:rPr>
          <w:rFonts w:hint="eastAsia" w:ascii="黑体" w:hAnsi="黑体" w:eastAsia="黑体" w:cs="宋体"/>
          <w:b/>
          <w:bCs/>
          <w:kern w:val="0"/>
          <w:sz w:val="32"/>
          <w:szCs w:val="36"/>
        </w:rPr>
      </w:pPr>
    </w:p>
    <w:p>
      <w:pPr>
        <w:jc w:val="center"/>
        <w:rPr>
          <w:rFonts w:ascii="黑体" w:hAnsi="黑体" w:eastAsia="黑体" w:cs="宋体"/>
          <w:b/>
          <w:bCs/>
          <w:kern w:val="0"/>
          <w:sz w:val="32"/>
          <w:szCs w:val="36"/>
        </w:rPr>
      </w:pPr>
    </w:p>
    <w:p>
      <w:pPr>
        <w:jc w:val="center"/>
      </w:pPr>
      <w:r>
        <w:rPr>
          <w:rFonts w:hint="eastAsia" w:ascii="黑体" w:hAnsi="黑体" w:eastAsia="黑体" w:cs="宋体"/>
          <w:b/>
          <w:bCs/>
          <w:kern w:val="0"/>
          <w:sz w:val="32"/>
          <w:szCs w:val="36"/>
        </w:rPr>
        <w:t>《二手房源的开发与维护》</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对于房地产经纪人，获取房源是销售工作的第一步，做好房源维护才能让成交更加的顺畅。</w:t>
      </w:r>
    </w:p>
    <w:p>
      <w:pPr>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本次课程帮助广大中介同行了解房源开发的途径，掌握房源维护方法。</w:t>
      </w:r>
    </w:p>
    <w:p>
      <w:pPr>
        <w:jc w:val="center"/>
        <w:rPr>
          <w:rFonts w:hint="eastAsia" w:ascii="FangSong_GB2312" w:eastAsia="FangSong_GB2312"/>
          <w:sz w:val="28"/>
          <w:szCs w:val="28"/>
        </w:rPr>
      </w:pPr>
      <w:r>
        <w:drawing>
          <wp:inline distT="0" distB="0" distL="114300" distR="114300">
            <wp:extent cx="4552950" cy="16859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552950" cy="1685925"/>
                    </a:xfrm>
                    <a:prstGeom prst="rect">
                      <a:avLst/>
                    </a:prstGeom>
                    <a:noFill/>
                    <a:ln>
                      <a:noFill/>
                    </a:ln>
                  </pic:spPr>
                </pic:pic>
              </a:graphicData>
            </a:graphic>
          </wp:inline>
        </w:drawing>
      </w:r>
      <w:r>
        <w:rPr>
          <w:rFonts w:hint="eastAsia" w:ascii="FangSong_GB2312" w:eastAsia="FangSong_GB2312"/>
          <w:sz w:val="28"/>
          <w:szCs w:val="28"/>
        </w:rPr>
        <w:t xml:space="preserve"> </w:t>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讲师：</w:t>
      </w:r>
      <w:r>
        <w:rPr>
          <w:rFonts w:hint="eastAsia" w:ascii="FangSong_GB2312" w:hAnsi="宋体" w:eastAsia="FangSong_GB2312"/>
          <w:sz w:val="28"/>
          <w:szCs w:val="28"/>
          <w:lang w:bidi="ar"/>
        </w:rPr>
        <w:t>米广强</w:t>
      </w:r>
    </w:p>
    <w:p>
      <w:pPr>
        <w:ind w:firstLine="562" w:firstLineChars="200"/>
        <w:jc w:val="left"/>
        <w:rPr>
          <w:rFonts w:hint="eastAsia" w:ascii="FangSong_GB2312" w:hAnsi="宋体" w:eastAsia="FangSong_GB2312" w:cs="FangSong_GB2312"/>
          <w:sz w:val="28"/>
          <w:szCs w:val="32"/>
          <w:lang w:bidi="ar"/>
        </w:rPr>
      </w:pPr>
      <w:r>
        <w:rPr>
          <w:rFonts w:hint="eastAsia" w:ascii="FangSong_GB2312" w:hAnsi="宋体" w:eastAsia="FangSong_GB2312"/>
          <w:b/>
          <w:sz w:val="28"/>
          <w:szCs w:val="28"/>
          <w:lang w:bidi="ar"/>
        </w:rPr>
        <w:t>背景：</w:t>
      </w:r>
      <w:r>
        <w:rPr>
          <w:rFonts w:hint="eastAsia" w:ascii="FangSong_GB2312" w:hAnsi="宋体" w:eastAsia="FangSong_GB2312" w:cs="FangSong_GB2312"/>
          <w:sz w:val="28"/>
          <w:szCs w:val="32"/>
          <w:lang w:bidi="ar"/>
        </w:rPr>
        <w:t>58</w:t>
      </w:r>
      <w:r>
        <w:rPr>
          <w:rFonts w:ascii="FangSong_GB2312" w:hAnsi="宋体" w:eastAsia="FangSong_GB2312" w:cs="FangSong_GB2312"/>
          <w:sz w:val="28"/>
          <w:szCs w:val="32"/>
          <w:lang w:bidi="ar"/>
        </w:rPr>
        <w:t>安居客培训赋能中心高级培训师</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简介：</w:t>
      </w:r>
      <w:r>
        <w:rPr>
          <w:rFonts w:hint="eastAsia" w:ascii="FangSong_GB2312" w:hAnsi="宋体" w:eastAsia="FangSong_GB2312"/>
          <w:sz w:val="28"/>
          <w:szCs w:val="28"/>
          <w:lang w:bidi="ar"/>
        </w:rPr>
        <w:t>一直专注于房地产行业一线销售人员心态管理、目标规划、团队建设方面的研究、培训工作，尤其对人才培养和发展，房产经纪人潜能激发有独到的建树。教学风格善用互动、体验、启发的方式，能够结合丰富的教学案例分析，能够真正房产经纪人找到属于自己的发展方向，激发自我潜能。</w:t>
      </w:r>
    </w:p>
    <w:p>
      <w:pPr>
        <w:rPr>
          <w:rFonts w:hint="eastAsia" w:ascii="黑体" w:hAnsi="黑体" w:eastAsia="黑体" w:cs="宋体"/>
          <w:b/>
          <w:bCs/>
          <w:kern w:val="0"/>
          <w:sz w:val="32"/>
          <w:szCs w:val="36"/>
        </w:rPr>
      </w:pPr>
      <w:r>
        <w:rPr>
          <w:rFonts w:ascii="黑体" w:hAnsi="黑体" w:eastAsia="黑体" w:cs="宋体"/>
          <w:b/>
          <w:bCs/>
          <w:kern w:val="0"/>
          <w:sz w:val="32"/>
          <w:szCs w:val="36"/>
        </w:rPr>
        <w:br w:type="page"/>
      </w:r>
    </w:p>
    <w:p>
      <w:pPr>
        <w:jc w:val="center"/>
        <w:rPr>
          <w:rFonts w:hAnsi="宋体"/>
          <w:lang w:bidi="ar"/>
        </w:rPr>
      </w:pPr>
      <w:r>
        <w:rPr>
          <w:rFonts w:hint="eastAsia" w:ascii="黑体" w:hAnsi="黑体" w:eastAsia="黑体" w:cs="宋体"/>
          <w:b/>
          <w:bCs/>
          <w:kern w:val="0"/>
          <w:sz w:val="32"/>
          <w:szCs w:val="36"/>
        </w:rPr>
        <w:t>《个人住房交易税费》</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spacing w:line="360" w:lineRule="auto"/>
        <w:ind w:firstLine="560" w:firstLineChars="200"/>
        <w:jc w:val="left"/>
        <w:rPr>
          <w:rFonts w:hint="eastAsia" w:ascii="FangSong_GB2312" w:eastAsia="FangSong_GB2312"/>
          <w:sz w:val="28"/>
          <w:szCs w:val="28"/>
        </w:rPr>
      </w:pPr>
      <w:r>
        <w:rPr>
          <w:rFonts w:hint="eastAsia" w:ascii="FangSong_GB2312" w:eastAsia="FangSong_GB2312"/>
          <w:sz w:val="28"/>
          <w:szCs w:val="28"/>
        </w:rPr>
        <w:t>在房屋交易过程中涉及的税费都不尽相同，那么个人住房交易过程中卖方和买方各自需要缴纳哪些税费？</w:t>
      </w:r>
    </w:p>
    <w:p>
      <w:pPr>
        <w:spacing w:line="360" w:lineRule="auto"/>
        <w:ind w:firstLine="560" w:firstLineChars="200"/>
        <w:jc w:val="left"/>
        <w:rPr>
          <w:rFonts w:hint="eastAsia" w:ascii="FangSong_GB2312" w:eastAsia="FangSong_GB2312"/>
          <w:sz w:val="28"/>
          <w:szCs w:val="28"/>
        </w:rPr>
      </w:pPr>
      <w:r>
        <w:rPr>
          <w:rFonts w:hint="eastAsia" w:ascii="FangSong_GB2312" w:eastAsia="FangSong_GB2312"/>
          <w:sz w:val="28"/>
          <w:szCs w:val="28"/>
        </w:rPr>
        <w:t>本课程从房地产基础要素出发，帮助经纪人全面提升专业知识。</w:t>
      </w:r>
    </w:p>
    <w:p>
      <w:pPr>
        <w:spacing w:line="360" w:lineRule="auto"/>
        <w:jc w:val="center"/>
      </w:pPr>
      <w:r>
        <w:drawing>
          <wp:inline distT="0" distB="0" distL="114300" distR="114300">
            <wp:extent cx="4581525" cy="1695450"/>
            <wp:effectExtent l="0" t="0" r="952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4581525" cy="1695450"/>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rPr>
          <w:rFonts w:hint="eastAsia" w:ascii="FangSong_GB2312" w:eastAsia="FangSong_GB2312"/>
          <w:b/>
          <w:sz w:val="32"/>
          <w:szCs w:val="32"/>
        </w:rPr>
      </w:pPr>
    </w:p>
    <w:p>
      <w:pPr>
        <w:spacing w:line="360" w:lineRule="auto"/>
        <w:jc w:val="center"/>
        <w:rPr>
          <w:rFonts w:hint="eastAsia" w:ascii="FangSong_GB2312" w:eastAsia="FangSong_GB2312"/>
          <w:b/>
          <w:sz w:val="32"/>
          <w:szCs w:val="32"/>
        </w:rPr>
      </w:pPr>
    </w:p>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WMzNmU4NDA5YWYyZTRlM2Y4MjgxNGU3MjY4NDkifQ=="/>
  </w:docVars>
  <w:rsids>
    <w:rsidRoot w:val="10265D59"/>
    <w:rsid w:val="1026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2023-05-30T01:17:00Z</dcterms:created>
  <dc:creator>garea</dc:creator>
  <cp:lastModifiedBy>garea</cp:lastModifiedBy>
  <dcterms:modified xsi:type="dcterms:W3CDTF">2023-05-30T01:18:10Z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A5F36569447941168135FBA12F909F50_11</vt:lpwstr>
  </property>
</Properties>
</file>