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sz w:val="28"/>
          <w:szCs w:val="28"/>
        </w:rPr>
      </w:pPr>
      <w:bookmarkStart w:id="0" w:name="_GoBack"/>
      <w:r>
        <w:rPr>
          <w:rFonts w:hint="eastAsia" w:ascii="仿宋_GB2312" w:hAnsi="宋体" w:eastAsia="仿宋_GB2312"/>
          <w:b/>
          <w:bCs/>
          <w:sz w:val="28"/>
          <w:szCs w:val="28"/>
        </w:rPr>
        <w:t>附件</w:t>
      </w:r>
    </w:p>
    <w:p>
      <w:pPr>
        <w:jc w:val="center"/>
        <w:rPr>
          <w:rFonts w:ascii="黑体" w:hAnsi="黑体" w:eastAsia="黑体"/>
          <w:b/>
          <w:bCs/>
          <w:sz w:val="44"/>
          <w:szCs w:val="44"/>
        </w:rPr>
      </w:pPr>
      <w:r>
        <w:rPr>
          <w:rFonts w:hint="eastAsia" w:ascii="黑体" w:hAnsi="黑体" w:eastAsia="黑体"/>
          <w:b/>
          <w:bCs/>
          <w:sz w:val="44"/>
          <w:szCs w:val="44"/>
        </w:rPr>
        <w:t>课程简介</w:t>
      </w:r>
    </w:p>
    <w:bookmarkEnd w:id="0"/>
    <w:p>
      <w:pPr>
        <w:jc w:val="center"/>
        <w:rPr>
          <w:rFonts w:ascii="黑体" w:hAnsi="黑体" w:eastAsia="黑体"/>
          <w:b/>
          <w:bCs/>
          <w:sz w:val="44"/>
          <w:szCs w:val="44"/>
        </w:rPr>
      </w:pPr>
    </w:p>
    <w:p>
      <w:pPr>
        <w:jc w:val="center"/>
      </w:pPr>
      <w:r>
        <w:rPr>
          <w:rFonts w:hint="eastAsia" w:ascii="黑体" w:hAnsi="黑体" w:eastAsia="黑体" w:cs="宋体"/>
          <w:b/>
          <w:bCs/>
          <w:kern w:val="0"/>
          <w:sz w:val="32"/>
          <w:szCs w:val="36"/>
        </w:rPr>
        <w:t>《看案例 学法规 (</w:t>
      </w:r>
      <w:r>
        <w:rPr>
          <w:rFonts w:ascii="黑体" w:hAnsi="黑体" w:eastAsia="黑体" w:cs="宋体"/>
          <w:b/>
          <w:bCs/>
          <w:kern w:val="0"/>
          <w:sz w:val="32"/>
          <w:szCs w:val="36"/>
        </w:rPr>
        <w:t>202</w:t>
      </w:r>
      <w:r>
        <w:rPr>
          <w:rFonts w:hint="eastAsia" w:ascii="黑体" w:hAnsi="黑体" w:eastAsia="黑体" w:cs="宋体"/>
          <w:b/>
          <w:bCs/>
          <w:kern w:val="0"/>
          <w:sz w:val="32"/>
          <w:szCs w:val="36"/>
        </w:rPr>
        <w:t>4年第</w:t>
      </w:r>
      <w:r>
        <w:rPr>
          <w:rFonts w:ascii="黑体" w:hAnsi="黑体" w:eastAsia="黑体" w:cs="宋体"/>
          <w:b/>
          <w:bCs/>
          <w:kern w:val="0"/>
          <w:sz w:val="32"/>
          <w:szCs w:val="36"/>
        </w:rPr>
        <w:t>2</w:t>
      </w:r>
      <w:r>
        <w:rPr>
          <w:rFonts w:hint="eastAsia" w:ascii="黑体" w:hAnsi="黑体" w:eastAsia="黑体" w:cs="宋体"/>
          <w:b/>
          <w:bCs/>
          <w:kern w:val="0"/>
          <w:sz w:val="32"/>
          <w:szCs w:val="36"/>
        </w:rPr>
        <w:t>期)——不可抗力》</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(视频课程)</w:t>
      </w:r>
    </w:p>
    <w:p>
      <w:pPr>
        <w:jc w:val="center"/>
        <w:rPr>
          <w:rFonts w:ascii="黑体" w:hAnsi="黑体" w:eastAsia="黑体" w:cs="宋体"/>
          <w:b/>
          <w:bCs/>
          <w:kern w:val="0"/>
          <w:sz w:val="32"/>
          <w:szCs w:val="36"/>
        </w:rPr>
      </w:pPr>
    </w:p>
    <w:p>
      <w:pPr>
        <w:ind w:firstLine="560" w:firstLineChars="200"/>
        <w:jc w:val="left"/>
        <w:rPr>
          <w:rFonts w:ascii="仿宋_GB2312" w:hAnsi="宋体" w:eastAsia="仿宋_GB2312"/>
          <w:sz w:val="28"/>
          <w:szCs w:val="28"/>
          <w:lang w:bidi="ar"/>
        </w:rPr>
      </w:pPr>
      <w:r>
        <w:rPr>
          <w:rFonts w:hint="eastAsia" w:ascii="仿宋_GB2312" w:hAnsi="宋体" w:eastAsia="仿宋_GB2312"/>
          <w:sz w:val="28"/>
          <w:szCs w:val="28"/>
          <w:lang w:bidi="ar"/>
        </w:rPr>
        <w:t>《看案例 学法规》系列课程，是以消费者投诉房地产中介在提供服务过程中存在违法违规行为的案件为原型改编而成。</w:t>
      </w:r>
    </w:p>
    <w:p>
      <w:pPr>
        <w:ind w:firstLine="560" w:firstLineChars="200"/>
        <w:jc w:val="left"/>
        <w:rPr>
          <w:rFonts w:ascii="仿宋_GB2312" w:hAnsi="宋体" w:eastAsia="仿宋_GB2312"/>
          <w:sz w:val="28"/>
          <w:szCs w:val="28"/>
          <w:lang w:bidi="ar"/>
        </w:rPr>
      </w:pPr>
      <w:r>
        <w:rPr>
          <w:rFonts w:hint="eastAsia" w:ascii="仿宋_GB2312" w:hAnsi="宋体" w:eastAsia="仿宋_GB2312"/>
          <w:sz w:val="28"/>
          <w:szCs w:val="28"/>
          <w:lang w:bidi="ar"/>
        </w:rPr>
        <w:t>本课程通过案例分析解读相关政策法规，以期广大会员同行在为消费者提供中介服务时，诚信执业、规范操作，避免不必要的交易纠纷和行政处罚风险。</w:t>
      </w:r>
    </w:p>
    <w:p>
      <w:pPr>
        <w:jc w:val="center"/>
        <w:rPr>
          <w:rFonts w:ascii="仿宋_GB2312" w:eastAsia="仿宋_GB2312"/>
          <w:sz w:val="28"/>
          <w:szCs w:val="28"/>
        </w:rPr>
      </w:pPr>
      <w:r>
        <w:drawing>
          <wp:inline distT="0" distB="0" distL="0" distR="0">
            <wp:extent cx="4533900" cy="1752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533900" cy="1752600"/>
                    </a:xfrm>
                    <a:prstGeom prst="rect">
                      <a:avLst/>
                    </a:prstGeom>
                  </pic:spPr>
                </pic:pic>
              </a:graphicData>
            </a:graphic>
          </wp:inline>
        </w:drawing>
      </w:r>
      <w:r>
        <w:t xml:space="preserve"> </w:t>
      </w:r>
    </w:p>
    <w:p>
      <w:pPr>
        <w:jc w:val="left"/>
        <w:rPr>
          <w:rFonts w:ascii="仿宋_GB2312" w:hAnsi="宋体" w:eastAsia="仿宋_GB2312"/>
          <w:sz w:val="28"/>
          <w:szCs w:val="28"/>
          <w:lang w:bidi="ar"/>
        </w:rPr>
      </w:pPr>
      <w:r>
        <w:rPr>
          <w:rFonts w:hint="eastAsia" w:ascii="仿宋_GB2312" w:hAnsi="宋体" w:eastAsia="仿宋_GB2312"/>
          <w:b/>
          <w:sz w:val="28"/>
          <w:szCs w:val="28"/>
          <w:lang w:bidi="ar"/>
        </w:rPr>
        <w:t>讲师简介：王俊轩</w:t>
      </w:r>
      <w:r>
        <w:rPr>
          <w:rFonts w:hint="eastAsia" w:ascii="仿宋_GB2312" w:hAnsi="宋体" w:eastAsia="仿宋_GB2312"/>
          <w:sz w:val="28"/>
          <w:szCs w:val="28"/>
          <w:lang w:bidi="ar"/>
        </w:rPr>
        <w:t>，现任职广州市房地产中介协会行业自律部部长，负责协会法人治理、政策法规宣传、房屋交易纠纷协调、二手房案例分析等工作。</w:t>
      </w:r>
    </w:p>
    <w:p>
      <w:pPr>
        <w:jc w:val="center"/>
        <w:rPr>
          <w:rFonts w:hAnsi="宋体"/>
          <w:lang w:bidi="ar"/>
        </w:rPr>
      </w:pPr>
      <w:r>
        <w:rPr>
          <w:rFonts w:ascii="仿宋_GB2312" w:hAnsi="宋体" w:eastAsia="仿宋_GB2312"/>
          <w:sz w:val="28"/>
          <w:szCs w:val="28"/>
          <w:lang w:bidi="ar"/>
        </w:rPr>
        <w:br w:type="page"/>
      </w:r>
      <w:r>
        <w:rPr>
          <w:rFonts w:hint="eastAsia" w:ascii="黑体" w:hAnsi="黑体" w:eastAsia="黑体" w:cs="宋体"/>
          <w:b/>
          <w:bCs/>
          <w:kern w:val="0"/>
          <w:sz w:val="32"/>
          <w:szCs w:val="36"/>
        </w:rPr>
        <w:t>《民法典关于定金罚则的相关裁判规则6条》</w:t>
      </w:r>
    </w:p>
    <w:p>
      <w:pPr>
        <w:jc w:val="center"/>
        <w:rPr>
          <w:rFonts w:ascii="黑体" w:hAnsi="黑体" w:eastAsia="黑体" w:cs="宋体"/>
          <w:b/>
          <w:bCs/>
          <w:kern w:val="0"/>
          <w:sz w:val="32"/>
          <w:szCs w:val="36"/>
        </w:rPr>
      </w:pPr>
      <w:r>
        <w:rPr>
          <w:rFonts w:hint="eastAsia" w:ascii="黑体" w:hAnsi="黑体" w:eastAsia="黑体" w:cs="宋体"/>
          <w:b/>
          <w:bCs/>
          <w:kern w:val="0"/>
          <w:sz w:val="32"/>
          <w:szCs w:val="36"/>
        </w:rPr>
        <w:t>(电子书课程)</w:t>
      </w:r>
    </w:p>
    <w:p>
      <w:pPr>
        <w:jc w:val="left"/>
        <w:rPr>
          <w:rFonts w:ascii="黑体" w:hAnsi="黑体" w:eastAsia="黑体" w:cs="宋体"/>
          <w:b/>
          <w:bCs/>
          <w:kern w:val="0"/>
          <w:sz w:val="32"/>
          <w:szCs w:val="36"/>
        </w:rPr>
      </w:pPr>
    </w:p>
    <w:p>
      <w:pPr>
        <w:ind w:firstLine="555"/>
        <w:jc w:val="left"/>
        <w:rPr>
          <w:rFonts w:ascii="仿宋_GB2312" w:eastAsia="仿宋_GB2312"/>
          <w:sz w:val="28"/>
          <w:szCs w:val="28"/>
        </w:rPr>
      </w:pPr>
      <w:r>
        <w:rPr>
          <w:rFonts w:hint="eastAsia" w:ascii="仿宋_GB2312" w:eastAsia="仿宋_GB2312"/>
          <w:sz w:val="28"/>
          <w:szCs w:val="28"/>
        </w:rPr>
        <w:t>《民法典》第五百八十七条是关于定金罚则适用的规定。定金的基本功能是担保，而这种担保功能是通过惩罚性规则，即定金罚则实现的，适用于“履行债务不符合约定”“致使不能实现合同目的”的情形。</w:t>
      </w:r>
    </w:p>
    <w:p>
      <w:pPr>
        <w:ind w:firstLine="555"/>
        <w:jc w:val="left"/>
        <w:rPr>
          <w:rFonts w:ascii="仿宋_GB2312" w:eastAsia="仿宋_GB2312"/>
          <w:sz w:val="28"/>
          <w:szCs w:val="28"/>
        </w:rPr>
      </w:pPr>
      <w:r>
        <w:rPr>
          <w:rFonts w:hint="eastAsia" w:ascii="仿宋_GB2312" w:eastAsia="仿宋_GB2312"/>
          <w:sz w:val="28"/>
          <w:szCs w:val="28"/>
        </w:rPr>
        <w:t>本课程就《民法典》第五百八十七条相关的法条、裁判规则和司法观点予以整理，以便中介同行更好地理解该条内容。</w:t>
      </w:r>
    </w:p>
    <w:p>
      <w:pPr>
        <w:jc w:val="center"/>
      </w:pPr>
      <w:r>
        <w:drawing>
          <wp:inline distT="0" distB="0" distL="0" distR="0">
            <wp:extent cx="4629150" cy="18002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4629150" cy="1800225"/>
                    </a:xfrm>
                    <a:prstGeom prst="rect">
                      <a:avLst/>
                    </a:prstGeom>
                  </pic:spPr>
                </pic:pic>
              </a:graphicData>
            </a:graphic>
          </wp:inline>
        </w:drawing>
      </w:r>
    </w:p>
    <w:p>
      <w:pPr>
        <w:jc w:val="left"/>
      </w:pP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hNTkyNzU4NzA1ZTM3OGQ2MzJjZTFlOTM0NDVjZTMifQ=="/>
  </w:docVars>
  <w:rsids>
    <w:rsidRoot w:val="63AC60A3"/>
    <w:rsid w:val="63AC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2024-04-02T06:39:00Z</dcterms:created>
  <dc:creator>garea</dc:creator>
  <cp:lastModifiedBy>garea</cp:lastModifiedBy>
  <dcterms:modified xsi:type="dcterms:W3CDTF">2024-04-02T06:39:39Z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595C35D2F9C747D2B9B074725189E5FA_11</vt:lpwstr>
  </property>
</Properties>
</file>